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62778">
      <w:pPr>
        <w:pStyle w:val="Style1"/>
        <w:widowControl/>
        <w:spacing w:line="398" w:lineRule="exact"/>
        <w:ind w:right="1531"/>
        <w:jc w:val="right"/>
        <w:rPr>
          <w:rStyle w:val="FontStyle13"/>
        </w:rPr>
      </w:pPr>
      <w:r>
        <w:rPr>
          <w:rStyle w:val="FontStyle13"/>
        </w:rPr>
        <w:t>NOTICE OF DATE OF COMMENCEMENT OF PERIOD FOR THE</w:t>
      </w:r>
    </w:p>
    <w:p w:rsidR="00000000" w:rsidRDefault="00D62778">
      <w:pPr>
        <w:pStyle w:val="Style2"/>
        <w:widowControl/>
        <w:spacing w:line="398" w:lineRule="exact"/>
        <w:ind w:left="3797"/>
        <w:rPr>
          <w:rStyle w:val="FontStyle13"/>
        </w:rPr>
      </w:pPr>
      <w:r>
        <w:rPr>
          <w:rStyle w:val="FontStyle13"/>
        </w:rPr>
        <w:t>EXERCISE OF PUBLIC RIGHTS</w:t>
      </w:r>
    </w:p>
    <w:p w:rsidR="00000000" w:rsidRDefault="00D62778">
      <w:pPr>
        <w:pStyle w:val="Style3"/>
        <w:widowControl/>
        <w:spacing w:line="398" w:lineRule="exact"/>
        <w:ind w:left="2602"/>
        <w:rPr>
          <w:rStyle w:val="FontStyle13"/>
        </w:rPr>
      </w:pPr>
      <w:r>
        <w:rPr>
          <w:rStyle w:val="FontStyle13"/>
        </w:rPr>
        <w:t>ACCOUNTS FOR THE YEAR ENDED 31 MARCH 2016</w:t>
      </w:r>
    </w:p>
    <w:p w:rsidR="00000000" w:rsidRDefault="00D62778">
      <w:pPr>
        <w:pStyle w:val="Style4"/>
        <w:widowControl/>
        <w:spacing w:before="101"/>
        <w:ind w:left="1162" w:right="2496"/>
        <w:rPr>
          <w:rStyle w:val="FontStyle14"/>
        </w:rPr>
      </w:pPr>
      <w:r>
        <w:rPr>
          <w:rStyle w:val="FontStyle14"/>
        </w:rPr>
        <w:t xml:space="preserve">The Accounts and Audit Regulations 2015 (SI 2015 No.234) </w:t>
      </w:r>
      <w:bookmarkStart w:id="0" w:name="_GoBack"/>
      <w:bookmarkEnd w:id="0"/>
      <w:proofErr w:type="gramStart"/>
      <w:r>
        <w:rPr>
          <w:rStyle w:val="FontStyle14"/>
        </w:rPr>
        <w:t>The</w:t>
      </w:r>
      <w:proofErr w:type="gramEnd"/>
      <w:r>
        <w:rPr>
          <w:rStyle w:val="FontStyle14"/>
        </w:rPr>
        <w:t xml:space="preserve"> Local Audit and Accountability Act 2014</w:t>
      </w:r>
    </w:p>
    <w:p w:rsidR="00000000" w:rsidRDefault="00D62778">
      <w:pPr>
        <w:widowControl/>
        <w:spacing w:after="24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800"/>
        <w:gridCol w:w="374"/>
        <w:gridCol w:w="2626"/>
      </w:tblGrid>
      <w:tr w:rsidR="00000000" w:rsidRPr="002E257F">
        <w:tblPrEx>
          <w:tblCellMar>
            <w:top w:w="0" w:type="dxa"/>
            <w:bottom w:w="0" w:type="dxa"/>
          </w:tblCellMar>
        </w:tblPrEx>
        <w:tc>
          <w:tcPr>
            <w:tcW w:w="7800" w:type="dxa"/>
            <w:tcBorders>
              <w:top w:val="single" w:sz="6" w:space="0" w:color="auto"/>
              <w:left w:val="single" w:sz="6" w:space="0" w:color="auto"/>
              <w:bottom w:val="single" w:sz="6" w:space="0" w:color="auto"/>
              <w:right w:val="single" w:sz="6" w:space="0" w:color="auto"/>
            </w:tcBorders>
          </w:tcPr>
          <w:p w:rsidR="00000000" w:rsidRPr="002E257F" w:rsidRDefault="00D62778">
            <w:pPr>
              <w:pStyle w:val="Style6"/>
              <w:widowControl/>
              <w:ind w:left="3360"/>
              <w:rPr>
                <w:rStyle w:val="FontStyle14"/>
              </w:rPr>
            </w:pPr>
            <w:r w:rsidRPr="002E257F">
              <w:rPr>
                <w:rStyle w:val="FontStyle14"/>
              </w:rPr>
              <w:t>NOTICE</w:t>
            </w:r>
          </w:p>
        </w:tc>
        <w:tc>
          <w:tcPr>
            <w:tcW w:w="3000" w:type="dxa"/>
            <w:gridSpan w:val="2"/>
            <w:tcBorders>
              <w:top w:val="single" w:sz="6" w:space="0" w:color="auto"/>
              <w:left w:val="single" w:sz="6" w:space="0" w:color="auto"/>
              <w:bottom w:val="single" w:sz="6" w:space="0" w:color="auto"/>
              <w:right w:val="single" w:sz="6" w:space="0" w:color="auto"/>
            </w:tcBorders>
          </w:tcPr>
          <w:p w:rsidR="00000000" w:rsidRPr="002E257F" w:rsidRDefault="00D62778">
            <w:pPr>
              <w:pStyle w:val="Style6"/>
              <w:widowControl/>
              <w:ind w:left="979"/>
              <w:rPr>
                <w:rStyle w:val="FontStyle14"/>
              </w:rPr>
            </w:pPr>
            <w:r w:rsidRPr="002E257F">
              <w:rPr>
                <w:rStyle w:val="FontStyle14"/>
              </w:rPr>
              <w:t>NOTES</w:t>
            </w:r>
          </w:p>
        </w:tc>
      </w:tr>
      <w:tr w:rsidR="00000000" w:rsidRPr="002E257F">
        <w:tblPrEx>
          <w:tblCellMar>
            <w:top w:w="0" w:type="dxa"/>
            <w:bottom w:w="0" w:type="dxa"/>
          </w:tblCellMar>
        </w:tblPrEx>
        <w:tc>
          <w:tcPr>
            <w:tcW w:w="7800" w:type="dxa"/>
            <w:tcBorders>
              <w:top w:val="single" w:sz="6" w:space="0" w:color="auto"/>
              <w:left w:val="single" w:sz="6" w:space="0" w:color="auto"/>
              <w:bottom w:val="nil"/>
              <w:right w:val="single" w:sz="6" w:space="0" w:color="auto"/>
            </w:tcBorders>
            <w:vAlign w:val="center"/>
          </w:tcPr>
          <w:p w:rsidR="002E257F" w:rsidRPr="002E257F" w:rsidRDefault="00D62778" w:rsidP="002E257F">
            <w:pPr>
              <w:pStyle w:val="Style7"/>
              <w:widowControl/>
              <w:spacing w:line="240" w:lineRule="auto"/>
              <w:rPr>
                <w:rStyle w:val="FontStyle16"/>
              </w:rPr>
            </w:pPr>
            <w:r w:rsidRPr="002E257F">
              <w:rPr>
                <w:rStyle w:val="FontStyle15"/>
              </w:rPr>
              <w:t>1.   Date of announcement</w:t>
            </w:r>
            <w:r w:rsidR="002E257F" w:rsidRPr="002E257F">
              <w:rPr>
                <w:rStyle w:val="FontStyle15"/>
              </w:rPr>
              <w:t xml:space="preserve"> </w:t>
            </w:r>
            <w:r w:rsidRPr="002E257F">
              <w:rPr>
                <w:rStyle w:val="FontStyle15"/>
              </w:rPr>
              <w:t xml:space="preserve"> </w:t>
            </w:r>
            <w:r w:rsidR="002E257F" w:rsidRPr="002E257F">
              <w:rPr>
                <w:rStyle w:val="FontStyle16"/>
                <w:b/>
              </w:rPr>
              <w:t>30</w:t>
            </w:r>
            <w:r w:rsidR="002E257F" w:rsidRPr="002E257F">
              <w:rPr>
                <w:rStyle w:val="FontStyle16"/>
                <w:b/>
                <w:vertAlign w:val="superscript"/>
              </w:rPr>
              <w:t>th</w:t>
            </w:r>
            <w:r w:rsidR="002E257F" w:rsidRPr="002E257F">
              <w:rPr>
                <w:rStyle w:val="FontStyle16"/>
                <w:b/>
              </w:rPr>
              <w:t xml:space="preserve"> June 2016</w:t>
            </w:r>
          </w:p>
        </w:tc>
        <w:tc>
          <w:tcPr>
            <w:tcW w:w="374" w:type="dxa"/>
            <w:tcBorders>
              <w:top w:val="single" w:sz="6" w:space="0" w:color="auto"/>
              <w:left w:val="single" w:sz="6" w:space="0" w:color="auto"/>
              <w:bottom w:val="nil"/>
              <w:right w:val="nil"/>
            </w:tcBorders>
            <w:vAlign w:val="center"/>
          </w:tcPr>
          <w:p w:rsidR="00000000" w:rsidRPr="002E257F" w:rsidRDefault="00D62778">
            <w:pPr>
              <w:pStyle w:val="Style9"/>
              <w:widowControl/>
              <w:spacing w:line="240" w:lineRule="auto"/>
              <w:rPr>
                <w:rStyle w:val="FontStyle16"/>
              </w:rPr>
            </w:pPr>
            <w:r w:rsidRPr="002E257F">
              <w:rPr>
                <w:rStyle w:val="FontStyle16"/>
              </w:rPr>
              <w:t>(</w:t>
            </w:r>
            <w:r w:rsidRPr="002E257F">
              <w:rPr>
                <w:rStyle w:val="FontStyle16"/>
              </w:rPr>
              <w:t>a)</w:t>
            </w:r>
          </w:p>
        </w:tc>
        <w:tc>
          <w:tcPr>
            <w:tcW w:w="2626" w:type="dxa"/>
            <w:tcBorders>
              <w:top w:val="single" w:sz="6" w:space="0" w:color="auto"/>
              <w:left w:val="nil"/>
              <w:bottom w:val="nil"/>
              <w:right w:val="single" w:sz="6" w:space="0" w:color="auto"/>
            </w:tcBorders>
            <w:vAlign w:val="center"/>
          </w:tcPr>
          <w:p w:rsidR="00000000" w:rsidRPr="002E257F" w:rsidRDefault="00D62778">
            <w:pPr>
              <w:pStyle w:val="Style9"/>
              <w:widowControl/>
              <w:ind w:right="456" w:firstLine="14"/>
              <w:rPr>
                <w:rStyle w:val="FontStyle16"/>
              </w:rPr>
            </w:pPr>
            <w:r w:rsidRPr="002E257F">
              <w:rPr>
                <w:rStyle w:val="FontStyle16"/>
              </w:rPr>
              <w:t>Insert date of placing of this notice</w:t>
            </w:r>
          </w:p>
        </w:tc>
      </w:tr>
      <w:tr w:rsidR="00000000" w:rsidRPr="002E257F">
        <w:tblPrEx>
          <w:tblCellMar>
            <w:top w:w="0" w:type="dxa"/>
            <w:bottom w:w="0" w:type="dxa"/>
          </w:tblCellMar>
        </w:tblPrEx>
        <w:tc>
          <w:tcPr>
            <w:tcW w:w="7800" w:type="dxa"/>
            <w:tcBorders>
              <w:top w:val="nil"/>
              <w:left w:val="single" w:sz="6" w:space="0" w:color="auto"/>
              <w:bottom w:val="nil"/>
              <w:right w:val="single" w:sz="6" w:space="0" w:color="auto"/>
            </w:tcBorders>
          </w:tcPr>
          <w:p w:rsidR="00000000" w:rsidRPr="002E257F" w:rsidRDefault="00D62778">
            <w:pPr>
              <w:pStyle w:val="Style7"/>
              <w:widowControl/>
              <w:spacing w:line="240" w:lineRule="auto"/>
              <w:rPr>
                <w:rStyle w:val="FontStyle15"/>
              </w:rPr>
            </w:pPr>
            <w:r w:rsidRPr="002E257F">
              <w:rPr>
                <w:rStyle w:val="FontStyle15"/>
              </w:rPr>
              <w:t>2.   Sections 26 and 27 of the Local Audit and Accountability Act 2014 provide for:</w:t>
            </w:r>
          </w:p>
          <w:p w:rsidR="00000000" w:rsidRPr="002E257F" w:rsidRDefault="00D62778">
            <w:pPr>
              <w:pStyle w:val="Style11"/>
              <w:widowControl/>
              <w:spacing w:line="206" w:lineRule="exact"/>
              <w:rPr>
                <w:rStyle w:val="FontStyle15"/>
              </w:rPr>
            </w:pPr>
            <w:r w:rsidRPr="002E257F">
              <w:rPr>
                <w:rStyle w:val="FontStyle15"/>
              </w:rPr>
              <w:t>• Any person interested has the opportunity to inspect and make copies of the Annual Return and all books, deeds, contracts, bills, vouchers and receipts etc. relating to t</w:t>
            </w:r>
            <w:r w:rsidRPr="002E257F">
              <w:rPr>
                <w:rStyle w:val="FontStyle15"/>
              </w:rPr>
              <w:t>hem. For the year ended 31 March 2016 these documents will be available on reasonable notice on application to the person in paragraph 3 below.</w:t>
            </w:r>
          </w:p>
        </w:tc>
        <w:tc>
          <w:tcPr>
            <w:tcW w:w="374" w:type="dxa"/>
            <w:tcBorders>
              <w:top w:val="nil"/>
              <w:left w:val="single" w:sz="6" w:space="0" w:color="auto"/>
              <w:bottom w:val="nil"/>
              <w:right w:val="nil"/>
            </w:tcBorders>
          </w:tcPr>
          <w:p w:rsidR="00000000" w:rsidRPr="002E257F" w:rsidRDefault="00D62778">
            <w:pPr>
              <w:pStyle w:val="Style5"/>
              <w:widowControl/>
            </w:pPr>
          </w:p>
        </w:tc>
        <w:tc>
          <w:tcPr>
            <w:tcW w:w="2626" w:type="dxa"/>
            <w:tcBorders>
              <w:top w:val="nil"/>
              <w:left w:val="nil"/>
              <w:bottom w:val="nil"/>
              <w:right w:val="single" w:sz="6" w:space="0" w:color="auto"/>
            </w:tcBorders>
          </w:tcPr>
          <w:p w:rsidR="00000000" w:rsidRPr="002E257F" w:rsidRDefault="00D62778">
            <w:pPr>
              <w:pStyle w:val="Style9"/>
              <w:widowControl/>
              <w:spacing w:line="187" w:lineRule="exact"/>
              <w:ind w:left="34" w:hanging="34"/>
              <w:rPr>
                <w:rStyle w:val="FontStyle16"/>
              </w:rPr>
            </w:pPr>
            <w:r w:rsidRPr="002E257F">
              <w:rPr>
                <w:rStyle w:val="FontStyle16"/>
              </w:rPr>
              <w:t>Sections 26 and 27 of the Local Audit and Accountability Act 2014 must be published with this Notice</w:t>
            </w:r>
          </w:p>
        </w:tc>
      </w:tr>
      <w:tr w:rsidR="00000000" w:rsidRPr="002E257F">
        <w:tblPrEx>
          <w:tblCellMar>
            <w:top w:w="0" w:type="dxa"/>
            <w:bottom w:w="0" w:type="dxa"/>
          </w:tblCellMar>
        </w:tblPrEx>
        <w:tc>
          <w:tcPr>
            <w:tcW w:w="7800" w:type="dxa"/>
            <w:tcBorders>
              <w:top w:val="nil"/>
              <w:left w:val="single" w:sz="6" w:space="0" w:color="auto"/>
              <w:bottom w:val="nil"/>
              <w:right w:val="single" w:sz="6" w:space="0" w:color="auto"/>
            </w:tcBorders>
          </w:tcPr>
          <w:p w:rsidR="00000000" w:rsidRPr="002E257F" w:rsidRDefault="00D62778">
            <w:pPr>
              <w:pStyle w:val="Style11"/>
              <w:widowControl/>
              <w:spacing w:line="240" w:lineRule="auto"/>
              <w:ind w:left="379"/>
              <w:rPr>
                <w:rStyle w:val="FontStyle15"/>
              </w:rPr>
            </w:pPr>
            <w:r w:rsidRPr="002E257F">
              <w:rPr>
                <w:rStyle w:val="FontStyle15"/>
              </w:rPr>
              <w:t>•</w:t>
            </w:r>
            <w:r w:rsidRPr="002E257F">
              <w:rPr>
                <w:rStyle w:val="FontStyle15"/>
              </w:rPr>
              <w:t xml:space="preserve"> Local Government Electors and their representatives have rights to:</w:t>
            </w:r>
          </w:p>
        </w:tc>
        <w:tc>
          <w:tcPr>
            <w:tcW w:w="374" w:type="dxa"/>
            <w:tcBorders>
              <w:top w:val="nil"/>
              <w:left w:val="single" w:sz="6" w:space="0" w:color="auto"/>
              <w:bottom w:val="nil"/>
              <w:right w:val="nil"/>
            </w:tcBorders>
          </w:tcPr>
          <w:p w:rsidR="00000000" w:rsidRPr="002E257F" w:rsidRDefault="00D62778">
            <w:pPr>
              <w:pStyle w:val="Style5"/>
              <w:widowControl/>
            </w:pPr>
          </w:p>
        </w:tc>
        <w:tc>
          <w:tcPr>
            <w:tcW w:w="2626" w:type="dxa"/>
            <w:tcBorders>
              <w:top w:val="nil"/>
              <w:left w:val="nil"/>
              <w:bottom w:val="nil"/>
              <w:right w:val="single" w:sz="6" w:space="0" w:color="auto"/>
            </w:tcBorders>
          </w:tcPr>
          <w:p w:rsidR="00000000" w:rsidRPr="002E257F" w:rsidRDefault="00D62778">
            <w:pPr>
              <w:pStyle w:val="Style5"/>
              <w:widowControl/>
            </w:pPr>
          </w:p>
        </w:tc>
      </w:tr>
      <w:tr w:rsidR="00000000" w:rsidRPr="002E257F">
        <w:tblPrEx>
          <w:tblCellMar>
            <w:top w:w="0" w:type="dxa"/>
            <w:bottom w:w="0" w:type="dxa"/>
          </w:tblCellMar>
        </w:tblPrEx>
        <w:tc>
          <w:tcPr>
            <w:tcW w:w="7800" w:type="dxa"/>
            <w:tcBorders>
              <w:top w:val="nil"/>
              <w:left w:val="single" w:sz="6" w:space="0" w:color="auto"/>
              <w:bottom w:val="nil"/>
              <w:right w:val="single" w:sz="6" w:space="0" w:color="auto"/>
            </w:tcBorders>
          </w:tcPr>
          <w:p w:rsidR="00000000" w:rsidRPr="002E257F" w:rsidRDefault="00D62778">
            <w:pPr>
              <w:pStyle w:val="Style10"/>
              <w:widowControl/>
              <w:spacing w:line="240" w:lineRule="auto"/>
              <w:ind w:left="446"/>
              <w:rPr>
                <w:rStyle w:val="FontStyle16"/>
              </w:rPr>
            </w:pPr>
            <w:r w:rsidRPr="002E257F">
              <w:rPr>
                <w:rStyle w:val="FontStyle16"/>
              </w:rPr>
              <w:t>• question the auditor about the accounts: and</w:t>
            </w:r>
          </w:p>
        </w:tc>
        <w:tc>
          <w:tcPr>
            <w:tcW w:w="374" w:type="dxa"/>
            <w:tcBorders>
              <w:top w:val="nil"/>
              <w:left w:val="single" w:sz="6" w:space="0" w:color="auto"/>
              <w:bottom w:val="nil"/>
              <w:right w:val="nil"/>
            </w:tcBorders>
          </w:tcPr>
          <w:p w:rsidR="00000000" w:rsidRPr="002E257F" w:rsidRDefault="00D62778">
            <w:pPr>
              <w:pStyle w:val="Style5"/>
              <w:widowControl/>
            </w:pPr>
          </w:p>
        </w:tc>
        <w:tc>
          <w:tcPr>
            <w:tcW w:w="2626" w:type="dxa"/>
            <w:tcBorders>
              <w:top w:val="nil"/>
              <w:left w:val="nil"/>
              <w:bottom w:val="nil"/>
              <w:right w:val="single" w:sz="6" w:space="0" w:color="auto"/>
            </w:tcBorders>
          </w:tcPr>
          <w:p w:rsidR="00000000" w:rsidRPr="002E257F" w:rsidRDefault="00D62778">
            <w:pPr>
              <w:pStyle w:val="Style5"/>
              <w:widowControl/>
            </w:pPr>
          </w:p>
        </w:tc>
      </w:tr>
      <w:tr w:rsidR="00000000" w:rsidRPr="002E257F">
        <w:tblPrEx>
          <w:tblCellMar>
            <w:top w:w="0" w:type="dxa"/>
            <w:bottom w:w="0" w:type="dxa"/>
          </w:tblCellMar>
        </w:tblPrEx>
        <w:tc>
          <w:tcPr>
            <w:tcW w:w="7800" w:type="dxa"/>
            <w:tcBorders>
              <w:top w:val="nil"/>
              <w:left w:val="single" w:sz="6" w:space="0" w:color="auto"/>
              <w:bottom w:val="nil"/>
              <w:right w:val="single" w:sz="6" w:space="0" w:color="auto"/>
            </w:tcBorders>
          </w:tcPr>
          <w:p w:rsidR="00000000" w:rsidRPr="002E257F" w:rsidRDefault="00D62778">
            <w:pPr>
              <w:pStyle w:val="Style10"/>
              <w:widowControl/>
              <w:ind w:left="446"/>
              <w:rPr>
                <w:rStyle w:val="FontStyle16"/>
              </w:rPr>
            </w:pPr>
            <w:r w:rsidRPr="002E257F">
              <w:rPr>
                <w:rStyle w:val="FontStyle16"/>
              </w:rPr>
              <w:t xml:space="preserve">• </w:t>
            </w:r>
            <w:proofErr w:type="gramStart"/>
            <w:r w:rsidRPr="002E257F">
              <w:rPr>
                <w:rStyle w:val="FontStyle16"/>
              </w:rPr>
              <w:t>object</w:t>
            </w:r>
            <w:proofErr w:type="gramEnd"/>
            <w:r w:rsidRPr="002E257F">
              <w:rPr>
                <w:rStyle w:val="FontStyle16"/>
              </w:rPr>
              <w:t xml:space="preserve"> to the accounts or any item in them. Written notice of an objection must first be given to the auditor and a copy sent to the</w:t>
            </w:r>
            <w:r w:rsidRPr="002E257F">
              <w:rPr>
                <w:rStyle w:val="FontStyle16"/>
              </w:rPr>
              <w:t xml:space="preserve"> Smaller Authority.</w:t>
            </w:r>
          </w:p>
        </w:tc>
        <w:tc>
          <w:tcPr>
            <w:tcW w:w="374" w:type="dxa"/>
            <w:tcBorders>
              <w:top w:val="nil"/>
              <w:left w:val="single" w:sz="6" w:space="0" w:color="auto"/>
              <w:bottom w:val="nil"/>
              <w:right w:val="nil"/>
            </w:tcBorders>
          </w:tcPr>
          <w:p w:rsidR="00000000" w:rsidRPr="002E257F" w:rsidRDefault="00D62778">
            <w:pPr>
              <w:pStyle w:val="Style5"/>
              <w:widowControl/>
            </w:pPr>
          </w:p>
        </w:tc>
        <w:tc>
          <w:tcPr>
            <w:tcW w:w="2626" w:type="dxa"/>
            <w:tcBorders>
              <w:top w:val="nil"/>
              <w:left w:val="nil"/>
              <w:bottom w:val="nil"/>
              <w:right w:val="single" w:sz="6" w:space="0" w:color="auto"/>
            </w:tcBorders>
          </w:tcPr>
          <w:p w:rsidR="00000000" w:rsidRPr="002E257F" w:rsidRDefault="00D62778">
            <w:pPr>
              <w:pStyle w:val="Style5"/>
              <w:widowControl/>
            </w:pPr>
          </w:p>
        </w:tc>
      </w:tr>
      <w:tr w:rsidR="00000000" w:rsidRPr="002E257F">
        <w:tblPrEx>
          <w:tblCellMar>
            <w:top w:w="0" w:type="dxa"/>
            <w:bottom w:w="0" w:type="dxa"/>
          </w:tblCellMar>
        </w:tblPrEx>
        <w:tc>
          <w:tcPr>
            <w:tcW w:w="7800" w:type="dxa"/>
            <w:tcBorders>
              <w:top w:val="nil"/>
              <w:left w:val="single" w:sz="6" w:space="0" w:color="auto"/>
              <w:bottom w:val="nil"/>
              <w:right w:val="single" w:sz="6" w:space="0" w:color="auto"/>
            </w:tcBorders>
          </w:tcPr>
          <w:p w:rsidR="00000000" w:rsidRPr="002E257F" w:rsidRDefault="00D62778">
            <w:pPr>
              <w:pStyle w:val="Style7"/>
              <w:widowControl/>
              <w:rPr>
                <w:rStyle w:val="FontStyle15"/>
              </w:rPr>
            </w:pPr>
            <w:r w:rsidRPr="002E257F">
              <w:rPr>
                <w:rStyle w:val="FontStyle15"/>
              </w:rPr>
              <w:t>The auditor can be contacted at the address in paragraph 5 below for this purpose. 3. Person to which you can apply to inspect the accounts (b)</w:t>
            </w:r>
          </w:p>
          <w:p w:rsidR="00000000" w:rsidRPr="002E257F" w:rsidRDefault="00D62778">
            <w:pPr>
              <w:pStyle w:val="Style7"/>
              <w:widowControl/>
              <w:spacing w:line="494" w:lineRule="exact"/>
              <w:rPr>
                <w:rStyle w:val="FontStyle15"/>
              </w:rPr>
            </w:pPr>
            <w:r w:rsidRPr="002E257F">
              <w:rPr>
                <w:rStyle w:val="FontStyle15"/>
              </w:rPr>
              <w:t>Name:</w:t>
            </w:r>
            <w:r w:rsidR="002E257F" w:rsidRPr="002E257F">
              <w:rPr>
                <w:rStyle w:val="FontStyle15"/>
              </w:rPr>
              <w:t xml:space="preserve">  Mrs. E. Butterworth</w:t>
            </w:r>
          </w:p>
          <w:p w:rsidR="00000000" w:rsidRPr="002E257F" w:rsidRDefault="00D62778">
            <w:pPr>
              <w:pStyle w:val="Style7"/>
              <w:widowControl/>
              <w:spacing w:line="494" w:lineRule="exact"/>
              <w:rPr>
                <w:rStyle w:val="FontStyle15"/>
              </w:rPr>
            </w:pPr>
            <w:r w:rsidRPr="002E257F">
              <w:rPr>
                <w:rStyle w:val="FontStyle15"/>
              </w:rPr>
              <w:t>Position:</w:t>
            </w:r>
            <w:r w:rsidR="002E257F" w:rsidRPr="002E257F">
              <w:rPr>
                <w:rStyle w:val="FontStyle15"/>
              </w:rPr>
              <w:t xml:space="preserve"> Parish Clerk</w:t>
            </w:r>
          </w:p>
          <w:p w:rsidR="00000000" w:rsidRPr="002E257F" w:rsidRDefault="00D62778">
            <w:pPr>
              <w:pStyle w:val="Style7"/>
              <w:widowControl/>
              <w:spacing w:line="494" w:lineRule="exact"/>
              <w:rPr>
                <w:rStyle w:val="FontStyle15"/>
              </w:rPr>
            </w:pPr>
            <w:r w:rsidRPr="002E257F">
              <w:rPr>
                <w:rStyle w:val="FontStyle15"/>
              </w:rPr>
              <w:t>Address:</w:t>
            </w:r>
            <w:r w:rsidR="002E257F" w:rsidRPr="002E257F">
              <w:rPr>
                <w:rStyle w:val="FontStyle15"/>
              </w:rPr>
              <w:t xml:space="preserve">  </w:t>
            </w:r>
            <w:proofErr w:type="spellStart"/>
            <w:r w:rsidR="002E257F" w:rsidRPr="002E257F">
              <w:rPr>
                <w:rStyle w:val="FontStyle15"/>
              </w:rPr>
              <w:t>Alne</w:t>
            </w:r>
            <w:proofErr w:type="spellEnd"/>
            <w:r w:rsidR="002E257F" w:rsidRPr="002E257F">
              <w:rPr>
                <w:rStyle w:val="FontStyle15"/>
              </w:rPr>
              <w:t xml:space="preserve"> View, Pathlow, Stratford on Avon, CV37 0ES</w:t>
            </w:r>
          </w:p>
          <w:p w:rsidR="00000000" w:rsidRPr="002E257F" w:rsidRDefault="00D62778">
            <w:pPr>
              <w:pStyle w:val="Style7"/>
              <w:widowControl/>
              <w:spacing w:line="494" w:lineRule="exact"/>
              <w:rPr>
                <w:rStyle w:val="FontStyle15"/>
              </w:rPr>
            </w:pPr>
            <w:r w:rsidRPr="002E257F">
              <w:rPr>
                <w:rStyle w:val="FontStyle15"/>
              </w:rPr>
              <w:t>Tel no:</w:t>
            </w:r>
            <w:r w:rsidR="002E257F" w:rsidRPr="002E257F">
              <w:rPr>
                <w:rStyle w:val="FontStyle15"/>
              </w:rPr>
              <w:t xml:space="preserve">  01789 268998</w:t>
            </w:r>
          </w:p>
        </w:tc>
        <w:tc>
          <w:tcPr>
            <w:tcW w:w="374" w:type="dxa"/>
            <w:tcBorders>
              <w:top w:val="nil"/>
              <w:left w:val="single" w:sz="6" w:space="0" w:color="auto"/>
              <w:bottom w:val="nil"/>
              <w:right w:val="nil"/>
            </w:tcBorders>
          </w:tcPr>
          <w:p w:rsidR="00000000" w:rsidRPr="002E257F" w:rsidRDefault="00D62778">
            <w:pPr>
              <w:pStyle w:val="Style9"/>
              <w:widowControl/>
              <w:spacing w:line="240" w:lineRule="auto"/>
              <w:rPr>
                <w:rStyle w:val="FontStyle16"/>
              </w:rPr>
            </w:pPr>
            <w:r w:rsidRPr="002E257F">
              <w:rPr>
                <w:rStyle w:val="FontStyle16"/>
              </w:rPr>
              <w:t>(b)</w:t>
            </w:r>
          </w:p>
        </w:tc>
        <w:tc>
          <w:tcPr>
            <w:tcW w:w="2626" w:type="dxa"/>
            <w:tcBorders>
              <w:top w:val="nil"/>
              <w:left w:val="nil"/>
              <w:bottom w:val="nil"/>
              <w:right w:val="single" w:sz="6" w:space="0" w:color="auto"/>
            </w:tcBorders>
          </w:tcPr>
          <w:p w:rsidR="00000000" w:rsidRPr="002E257F" w:rsidRDefault="00D62778">
            <w:pPr>
              <w:pStyle w:val="Style9"/>
              <w:widowControl/>
              <w:spacing w:line="182" w:lineRule="exact"/>
              <w:ind w:right="38" w:firstLine="19"/>
              <w:rPr>
                <w:rStyle w:val="FontStyle16"/>
              </w:rPr>
            </w:pPr>
            <w:r w:rsidRPr="002E257F">
              <w:rPr>
                <w:rStyle w:val="FontStyle16"/>
              </w:rPr>
              <w:t xml:space="preserve">Insert name, position, address and contact details such as telephone and email of the Clerk or other person to which any person may apply to inspect the accounts, and the details of the manner in which notice should be given of an intention to inspect the </w:t>
            </w:r>
            <w:r w:rsidRPr="002E257F">
              <w:rPr>
                <w:rStyle w:val="FontStyle16"/>
              </w:rPr>
              <w:t>accounting records and other documents</w:t>
            </w:r>
          </w:p>
        </w:tc>
      </w:tr>
      <w:tr w:rsidR="00000000" w:rsidRPr="002E257F">
        <w:tblPrEx>
          <w:tblCellMar>
            <w:top w:w="0" w:type="dxa"/>
            <w:bottom w:w="0" w:type="dxa"/>
          </w:tblCellMar>
        </w:tblPrEx>
        <w:tc>
          <w:tcPr>
            <w:tcW w:w="7800" w:type="dxa"/>
            <w:tcBorders>
              <w:top w:val="nil"/>
              <w:left w:val="single" w:sz="6" w:space="0" w:color="auto"/>
              <w:bottom w:val="nil"/>
              <w:right w:val="single" w:sz="6" w:space="0" w:color="auto"/>
            </w:tcBorders>
          </w:tcPr>
          <w:p w:rsidR="00000000" w:rsidRPr="002E257F" w:rsidRDefault="00D62778">
            <w:pPr>
              <w:pStyle w:val="Style7"/>
              <w:widowControl/>
              <w:spacing w:line="240" w:lineRule="auto"/>
              <w:rPr>
                <w:rStyle w:val="FontStyle15"/>
              </w:rPr>
            </w:pPr>
            <w:r w:rsidRPr="002E257F">
              <w:rPr>
                <w:rStyle w:val="FontStyle15"/>
              </w:rPr>
              <w:t>Email:</w:t>
            </w:r>
            <w:r w:rsidR="002E257F" w:rsidRPr="002E257F">
              <w:rPr>
                <w:rStyle w:val="FontStyle15"/>
              </w:rPr>
              <w:t xml:space="preserve">  lizbutterworth1@btinternet.com</w:t>
            </w:r>
          </w:p>
        </w:tc>
        <w:tc>
          <w:tcPr>
            <w:tcW w:w="374" w:type="dxa"/>
            <w:tcBorders>
              <w:top w:val="nil"/>
              <w:left w:val="single" w:sz="6" w:space="0" w:color="auto"/>
              <w:bottom w:val="nil"/>
              <w:right w:val="nil"/>
            </w:tcBorders>
          </w:tcPr>
          <w:p w:rsidR="00000000" w:rsidRPr="002E257F" w:rsidRDefault="00D62778">
            <w:pPr>
              <w:pStyle w:val="Style5"/>
              <w:widowControl/>
            </w:pPr>
          </w:p>
        </w:tc>
        <w:tc>
          <w:tcPr>
            <w:tcW w:w="2626" w:type="dxa"/>
            <w:tcBorders>
              <w:top w:val="nil"/>
              <w:left w:val="nil"/>
              <w:bottom w:val="nil"/>
              <w:right w:val="single" w:sz="6" w:space="0" w:color="auto"/>
            </w:tcBorders>
          </w:tcPr>
          <w:p w:rsidR="00000000" w:rsidRPr="002E257F" w:rsidRDefault="00D62778">
            <w:pPr>
              <w:pStyle w:val="Style5"/>
              <w:widowControl/>
            </w:pPr>
          </w:p>
        </w:tc>
      </w:tr>
      <w:tr w:rsidR="00000000" w:rsidRPr="002E257F">
        <w:tblPrEx>
          <w:tblCellMar>
            <w:top w:w="0" w:type="dxa"/>
            <w:bottom w:w="0" w:type="dxa"/>
          </w:tblCellMar>
        </w:tblPrEx>
        <w:tc>
          <w:tcPr>
            <w:tcW w:w="7800" w:type="dxa"/>
            <w:tcBorders>
              <w:top w:val="nil"/>
              <w:left w:val="single" w:sz="6" w:space="0" w:color="auto"/>
              <w:bottom w:val="nil"/>
              <w:right w:val="single" w:sz="6" w:space="0" w:color="auto"/>
            </w:tcBorders>
          </w:tcPr>
          <w:p w:rsidR="00000000" w:rsidRPr="002E257F" w:rsidRDefault="00D62778">
            <w:pPr>
              <w:pStyle w:val="Style8"/>
              <w:widowControl/>
              <w:rPr>
                <w:rStyle w:val="FontStyle15"/>
              </w:rPr>
            </w:pPr>
            <w:r w:rsidRPr="002E257F">
              <w:rPr>
                <w:rStyle w:val="FontStyle15"/>
              </w:rPr>
              <w:t xml:space="preserve">4. Any rights of inspection, objection, and questioning of the auditor may only be exercised within a </w:t>
            </w:r>
            <w:proofErr w:type="spellStart"/>
            <w:r w:rsidRPr="002E257F">
              <w:rPr>
                <w:rStyle w:val="FontStyle15"/>
              </w:rPr>
              <w:t>sinqle</w:t>
            </w:r>
            <w:proofErr w:type="spellEnd"/>
            <w:r w:rsidRPr="002E257F">
              <w:rPr>
                <w:rStyle w:val="FontStyle15"/>
              </w:rPr>
              <w:t xml:space="preserve"> period of 30 </w:t>
            </w:r>
            <w:proofErr w:type="spellStart"/>
            <w:r w:rsidRPr="002E257F">
              <w:rPr>
                <w:rStyle w:val="FontStyle15"/>
              </w:rPr>
              <w:t>workinq</w:t>
            </w:r>
            <w:proofErr w:type="spellEnd"/>
            <w:r w:rsidRPr="002E257F">
              <w:rPr>
                <w:rStyle w:val="FontStyle15"/>
              </w:rPr>
              <w:t xml:space="preserve"> </w:t>
            </w:r>
            <w:proofErr w:type="spellStart"/>
            <w:r w:rsidRPr="002E257F">
              <w:rPr>
                <w:rStyle w:val="FontStyle15"/>
              </w:rPr>
              <w:t>davs</w:t>
            </w:r>
            <w:proofErr w:type="spellEnd"/>
            <w:r w:rsidRPr="002E257F">
              <w:rPr>
                <w:rStyle w:val="FontStyle15"/>
              </w:rPr>
              <w:t>:</w:t>
            </w:r>
          </w:p>
        </w:tc>
        <w:tc>
          <w:tcPr>
            <w:tcW w:w="374" w:type="dxa"/>
            <w:tcBorders>
              <w:top w:val="nil"/>
              <w:left w:val="single" w:sz="6" w:space="0" w:color="auto"/>
              <w:bottom w:val="nil"/>
              <w:right w:val="nil"/>
            </w:tcBorders>
          </w:tcPr>
          <w:p w:rsidR="00000000" w:rsidRPr="002E257F" w:rsidRDefault="00D62778">
            <w:pPr>
              <w:pStyle w:val="Style5"/>
              <w:widowControl/>
            </w:pPr>
          </w:p>
        </w:tc>
        <w:tc>
          <w:tcPr>
            <w:tcW w:w="2626" w:type="dxa"/>
            <w:tcBorders>
              <w:top w:val="nil"/>
              <w:left w:val="nil"/>
              <w:bottom w:val="nil"/>
              <w:right w:val="single" w:sz="6" w:space="0" w:color="auto"/>
            </w:tcBorders>
          </w:tcPr>
          <w:p w:rsidR="00000000" w:rsidRPr="002E257F" w:rsidRDefault="00D62778">
            <w:pPr>
              <w:pStyle w:val="Style5"/>
              <w:widowControl/>
            </w:pPr>
          </w:p>
        </w:tc>
      </w:tr>
      <w:tr w:rsidR="00000000" w:rsidRPr="002E257F">
        <w:tblPrEx>
          <w:tblCellMar>
            <w:top w:w="0" w:type="dxa"/>
            <w:bottom w:w="0" w:type="dxa"/>
          </w:tblCellMar>
        </w:tblPrEx>
        <w:tc>
          <w:tcPr>
            <w:tcW w:w="7800" w:type="dxa"/>
            <w:tcBorders>
              <w:top w:val="nil"/>
              <w:left w:val="single" w:sz="6" w:space="0" w:color="auto"/>
              <w:bottom w:val="nil"/>
              <w:right w:val="single" w:sz="6" w:space="0" w:color="auto"/>
            </w:tcBorders>
          </w:tcPr>
          <w:p w:rsidR="002E257F" w:rsidRPr="002E257F" w:rsidRDefault="002E257F">
            <w:pPr>
              <w:pStyle w:val="Style7"/>
              <w:widowControl/>
              <w:spacing w:line="240" w:lineRule="auto"/>
              <w:ind w:left="379"/>
              <w:rPr>
                <w:rStyle w:val="FontStyle15"/>
              </w:rPr>
            </w:pPr>
          </w:p>
          <w:p w:rsidR="00000000" w:rsidRPr="002E257F" w:rsidRDefault="00D62778" w:rsidP="002E257F">
            <w:pPr>
              <w:pStyle w:val="Style7"/>
              <w:widowControl/>
              <w:spacing w:line="240" w:lineRule="auto"/>
              <w:ind w:left="379"/>
              <w:rPr>
                <w:rStyle w:val="FontStyle15"/>
              </w:rPr>
            </w:pPr>
            <w:proofErr w:type="spellStart"/>
            <w:r w:rsidRPr="002E257F">
              <w:rPr>
                <w:rStyle w:val="FontStyle15"/>
              </w:rPr>
              <w:t>commencinq</w:t>
            </w:r>
            <w:proofErr w:type="spellEnd"/>
            <w:r w:rsidRPr="002E257F">
              <w:rPr>
                <w:rStyle w:val="FontStyle15"/>
              </w:rPr>
              <w:t xml:space="preserve"> on </w:t>
            </w:r>
            <w:r w:rsidR="002E257F" w:rsidRPr="002E257F">
              <w:rPr>
                <w:rStyle w:val="FontStyle15"/>
              </w:rPr>
              <w:t>1</w:t>
            </w:r>
            <w:r w:rsidR="002E257F" w:rsidRPr="002E257F">
              <w:rPr>
                <w:rStyle w:val="FontStyle15"/>
                <w:vertAlign w:val="superscript"/>
              </w:rPr>
              <w:t>st</w:t>
            </w:r>
            <w:r w:rsidR="002E257F" w:rsidRPr="002E257F">
              <w:rPr>
                <w:rStyle w:val="FontStyle15"/>
              </w:rPr>
              <w:t xml:space="preserve"> July</w:t>
            </w:r>
            <w:r w:rsidRPr="002E257F">
              <w:rPr>
                <w:rStyle w:val="FontStyle15"/>
              </w:rPr>
              <w:t xml:space="preserve"> 2016</w:t>
            </w:r>
          </w:p>
        </w:tc>
        <w:tc>
          <w:tcPr>
            <w:tcW w:w="374" w:type="dxa"/>
            <w:tcBorders>
              <w:top w:val="nil"/>
              <w:left w:val="single" w:sz="6" w:space="0" w:color="auto"/>
              <w:bottom w:val="nil"/>
              <w:right w:val="nil"/>
            </w:tcBorders>
          </w:tcPr>
          <w:p w:rsidR="00000000" w:rsidRPr="002E257F" w:rsidRDefault="00D62778">
            <w:pPr>
              <w:pStyle w:val="Style9"/>
              <w:widowControl/>
              <w:spacing w:line="240" w:lineRule="auto"/>
              <w:rPr>
                <w:rStyle w:val="FontStyle16"/>
              </w:rPr>
            </w:pPr>
            <w:r w:rsidRPr="002E257F">
              <w:rPr>
                <w:rStyle w:val="FontStyle16"/>
              </w:rPr>
              <w:t>(</w:t>
            </w:r>
            <w:r w:rsidRPr="002E257F">
              <w:rPr>
                <w:rStyle w:val="FontStyle16"/>
              </w:rPr>
              <w:t>c)</w:t>
            </w:r>
          </w:p>
        </w:tc>
        <w:tc>
          <w:tcPr>
            <w:tcW w:w="2626" w:type="dxa"/>
            <w:tcBorders>
              <w:top w:val="nil"/>
              <w:left w:val="nil"/>
              <w:bottom w:val="nil"/>
              <w:right w:val="single" w:sz="6" w:space="0" w:color="auto"/>
            </w:tcBorders>
          </w:tcPr>
          <w:p w:rsidR="00000000" w:rsidRPr="002E257F" w:rsidRDefault="00D62778">
            <w:pPr>
              <w:pStyle w:val="Style9"/>
              <w:widowControl/>
              <w:spacing w:line="187" w:lineRule="exact"/>
              <w:ind w:right="34" w:firstLine="14"/>
              <w:rPr>
                <w:rStyle w:val="FontStyle15"/>
              </w:rPr>
            </w:pPr>
            <w:r w:rsidRPr="002E257F">
              <w:rPr>
                <w:rStyle w:val="FontStyle16"/>
              </w:rPr>
              <w:t xml:space="preserve">Insert date at least 1 working day after the Date of announcement in paragraph 1 above and between </w:t>
            </w:r>
            <w:r w:rsidRPr="002E257F">
              <w:rPr>
                <w:rStyle w:val="FontStyle15"/>
              </w:rPr>
              <w:t>3 June 2016 and 1 July 2016.</w:t>
            </w:r>
          </w:p>
        </w:tc>
      </w:tr>
      <w:tr w:rsidR="00000000" w:rsidRPr="002E257F">
        <w:tblPrEx>
          <w:tblCellMar>
            <w:top w:w="0" w:type="dxa"/>
            <w:bottom w:w="0" w:type="dxa"/>
          </w:tblCellMar>
        </w:tblPrEx>
        <w:tc>
          <w:tcPr>
            <w:tcW w:w="7800" w:type="dxa"/>
            <w:tcBorders>
              <w:top w:val="nil"/>
              <w:left w:val="single" w:sz="6" w:space="0" w:color="auto"/>
              <w:bottom w:val="nil"/>
              <w:right w:val="single" w:sz="6" w:space="0" w:color="auto"/>
            </w:tcBorders>
          </w:tcPr>
          <w:p w:rsidR="002E257F" w:rsidRPr="002E257F" w:rsidRDefault="002E257F" w:rsidP="002E257F">
            <w:pPr>
              <w:pStyle w:val="Style7"/>
              <w:widowControl/>
              <w:spacing w:line="240" w:lineRule="auto"/>
              <w:ind w:left="370"/>
              <w:rPr>
                <w:rStyle w:val="FontStyle15"/>
              </w:rPr>
            </w:pPr>
          </w:p>
          <w:p w:rsidR="00000000" w:rsidRPr="002E257F" w:rsidRDefault="00D62778" w:rsidP="002E257F">
            <w:pPr>
              <w:pStyle w:val="Style7"/>
              <w:widowControl/>
              <w:spacing w:line="240" w:lineRule="auto"/>
              <w:ind w:left="370"/>
              <w:rPr>
                <w:rStyle w:val="FontStyle15"/>
              </w:rPr>
            </w:pPr>
            <w:r w:rsidRPr="002E257F">
              <w:rPr>
                <w:rStyle w:val="FontStyle15"/>
              </w:rPr>
              <w:t xml:space="preserve">and ending on </w:t>
            </w:r>
            <w:r w:rsidR="002E257F" w:rsidRPr="002E257F">
              <w:rPr>
                <w:rStyle w:val="FontStyle15"/>
              </w:rPr>
              <w:t>11</w:t>
            </w:r>
            <w:r w:rsidR="002E257F" w:rsidRPr="002E257F">
              <w:rPr>
                <w:rStyle w:val="FontStyle15"/>
                <w:vertAlign w:val="superscript"/>
              </w:rPr>
              <w:t>th</w:t>
            </w:r>
            <w:r w:rsidR="002E257F" w:rsidRPr="002E257F">
              <w:rPr>
                <w:rStyle w:val="FontStyle15"/>
              </w:rPr>
              <w:t xml:space="preserve"> August</w:t>
            </w:r>
            <w:r w:rsidRPr="002E257F">
              <w:rPr>
                <w:rStyle w:val="FontStyle15"/>
              </w:rPr>
              <w:t xml:space="preserve"> 2016</w:t>
            </w:r>
          </w:p>
        </w:tc>
        <w:tc>
          <w:tcPr>
            <w:tcW w:w="374" w:type="dxa"/>
            <w:tcBorders>
              <w:top w:val="nil"/>
              <w:left w:val="single" w:sz="6" w:space="0" w:color="auto"/>
              <w:bottom w:val="nil"/>
              <w:right w:val="nil"/>
            </w:tcBorders>
          </w:tcPr>
          <w:p w:rsidR="00000000" w:rsidRPr="002E257F" w:rsidRDefault="00D62778">
            <w:pPr>
              <w:pStyle w:val="Style9"/>
              <w:widowControl/>
              <w:spacing w:line="240" w:lineRule="auto"/>
              <w:rPr>
                <w:rStyle w:val="FontStyle16"/>
              </w:rPr>
            </w:pPr>
            <w:r w:rsidRPr="002E257F">
              <w:rPr>
                <w:rStyle w:val="FontStyle16"/>
              </w:rPr>
              <w:t>(</w:t>
            </w:r>
            <w:r w:rsidRPr="002E257F">
              <w:rPr>
                <w:rStyle w:val="FontStyle16"/>
              </w:rPr>
              <w:t>d)</w:t>
            </w:r>
          </w:p>
        </w:tc>
        <w:tc>
          <w:tcPr>
            <w:tcW w:w="2626" w:type="dxa"/>
            <w:tcBorders>
              <w:top w:val="nil"/>
              <w:left w:val="nil"/>
              <w:bottom w:val="nil"/>
              <w:right w:val="single" w:sz="6" w:space="0" w:color="auto"/>
            </w:tcBorders>
          </w:tcPr>
          <w:p w:rsidR="00000000" w:rsidRPr="002E257F" w:rsidRDefault="00D62778">
            <w:pPr>
              <w:pStyle w:val="Style9"/>
              <w:widowControl/>
              <w:spacing w:line="182" w:lineRule="exact"/>
              <w:ind w:left="24" w:hanging="24"/>
              <w:rPr>
                <w:rStyle w:val="FontStyle16"/>
              </w:rPr>
            </w:pPr>
            <w:r w:rsidRPr="002E257F">
              <w:rPr>
                <w:rStyle w:val="FontStyle16"/>
              </w:rPr>
              <w:t xml:space="preserve">The inspection period between (c) and (d) must be </w:t>
            </w:r>
            <w:r w:rsidRPr="002E257F">
              <w:rPr>
                <w:rStyle w:val="FontStyle15"/>
              </w:rPr>
              <w:t xml:space="preserve">30 consecutive </w:t>
            </w:r>
            <w:r w:rsidRPr="002E257F">
              <w:rPr>
                <w:rStyle w:val="FontStyle16"/>
              </w:rPr>
              <w:t xml:space="preserve">working </w:t>
            </w:r>
            <w:r w:rsidRPr="002E257F">
              <w:rPr>
                <w:rStyle w:val="FontStyle15"/>
              </w:rPr>
              <w:t xml:space="preserve">days </w:t>
            </w:r>
            <w:r w:rsidRPr="002E257F">
              <w:rPr>
                <w:rStyle w:val="FontStyle16"/>
              </w:rPr>
              <w:t xml:space="preserve">and must include the </w:t>
            </w:r>
            <w:r w:rsidRPr="002E257F">
              <w:rPr>
                <w:rStyle w:val="FontStyle15"/>
              </w:rPr>
              <w:t xml:space="preserve">first 10 </w:t>
            </w:r>
            <w:r w:rsidRPr="002E257F">
              <w:rPr>
                <w:rStyle w:val="FontStyle16"/>
              </w:rPr>
              <w:t xml:space="preserve">working </w:t>
            </w:r>
            <w:r w:rsidRPr="002E257F">
              <w:rPr>
                <w:rStyle w:val="FontStyle15"/>
              </w:rPr>
              <w:t xml:space="preserve">days of July. </w:t>
            </w:r>
            <w:r w:rsidRPr="002E257F">
              <w:rPr>
                <w:rStyle w:val="FontStyle16"/>
              </w:rPr>
              <w:t>Exclude weekends.</w:t>
            </w:r>
          </w:p>
        </w:tc>
      </w:tr>
      <w:tr w:rsidR="00000000" w:rsidRPr="002E257F">
        <w:tblPrEx>
          <w:tblCellMar>
            <w:top w:w="0" w:type="dxa"/>
            <w:bottom w:w="0" w:type="dxa"/>
          </w:tblCellMar>
        </w:tblPrEx>
        <w:tc>
          <w:tcPr>
            <w:tcW w:w="7800" w:type="dxa"/>
            <w:tcBorders>
              <w:top w:val="nil"/>
              <w:left w:val="single" w:sz="6" w:space="0" w:color="auto"/>
              <w:bottom w:val="nil"/>
              <w:right w:val="single" w:sz="6" w:space="0" w:color="auto"/>
            </w:tcBorders>
          </w:tcPr>
          <w:p w:rsidR="002E257F" w:rsidRPr="002E257F" w:rsidRDefault="00D62778">
            <w:pPr>
              <w:pStyle w:val="Style8"/>
              <w:widowControl/>
              <w:spacing w:line="245" w:lineRule="exact"/>
              <w:ind w:right="4838"/>
              <w:rPr>
                <w:rStyle w:val="FontStyle15"/>
              </w:rPr>
            </w:pPr>
            <w:r w:rsidRPr="002E257F">
              <w:rPr>
                <w:rStyle w:val="FontStyle15"/>
              </w:rPr>
              <w:t xml:space="preserve">5.   </w:t>
            </w:r>
            <w:r w:rsidR="002E257F" w:rsidRPr="002E257F">
              <w:rPr>
                <w:rStyle w:val="FontStyle15"/>
              </w:rPr>
              <w:t xml:space="preserve">Your appointed auditor is: </w:t>
            </w:r>
          </w:p>
          <w:p w:rsidR="00000000" w:rsidRPr="002E257F" w:rsidRDefault="002E257F">
            <w:pPr>
              <w:pStyle w:val="Style8"/>
              <w:widowControl/>
              <w:spacing w:line="245" w:lineRule="exact"/>
              <w:ind w:right="4838"/>
              <w:rPr>
                <w:rStyle w:val="FontStyle15"/>
              </w:rPr>
            </w:pPr>
            <w:r w:rsidRPr="002E257F">
              <w:rPr>
                <w:rStyle w:val="FontStyle15"/>
              </w:rPr>
              <w:t>Mark Heap</w:t>
            </w:r>
          </w:p>
          <w:p w:rsidR="002E257F" w:rsidRPr="002E257F" w:rsidRDefault="00D62778">
            <w:pPr>
              <w:pStyle w:val="Style8"/>
              <w:widowControl/>
              <w:ind w:right="4838"/>
              <w:rPr>
                <w:rStyle w:val="FontStyle15"/>
              </w:rPr>
            </w:pPr>
            <w:r w:rsidRPr="002E257F">
              <w:rPr>
                <w:rStyle w:val="FontStyle15"/>
              </w:rPr>
              <w:t>Grant Thornton UK LLP</w:t>
            </w:r>
          </w:p>
          <w:p w:rsidR="002E257F" w:rsidRPr="002E257F" w:rsidRDefault="00D62778">
            <w:pPr>
              <w:pStyle w:val="Style8"/>
              <w:widowControl/>
              <w:ind w:right="4838"/>
              <w:rPr>
                <w:rStyle w:val="FontStyle15"/>
              </w:rPr>
            </w:pPr>
            <w:r w:rsidRPr="002E257F">
              <w:rPr>
                <w:rStyle w:val="FontStyle15"/>
              </w:rPr>
              <w:t>Roya</w:t>
            </w:r>
            <w:r w:rsidR="002E257F" w:rsidRPr="002E257F">
              <w:rPr>
                <w:rStyle w:val="FontStyle15"/>
              </w:rPr>
              <w:t xml:space="preserve">l Liver Building </w:t>
            </w:r>
          </w:p>
          <w:p w:rsidR="002E257F" w:rsidRPr="002E257F" w:rsidRDefault="002E257F">
            <w:pPr>
              <w:pStyle w:val="Style8"/>
              <w:widowControl/>
              <w:ind w:right="4838"/>
              <w:rPr>
                <w:rStyle w:val="FontStyle15"/>
              </w:rPr>
            </w:pPr>
            <w:r w:rsidRPr="002E257F">
              <w:rPr>
                <w:rStyle w:val="FontStyle15"/>
              </w:rPr>
              <w:t>Liverpool L3 1</w:t>
            </w:r>
            <w:r w:rsidR="00D62778" w:rsidRPr="002E257F">
              <w:rPr>
                <w:rStyle w:val="FontStyle15"/>
              </w:rPr>
              <w:t xml:space="preserve">PS </w:t>
            </w:r>
          </w:p>
          <w:p w:rsidR="00000000" w:rsidRPr="002E257F" w:rsidRDefault="00D62778">
            <w:pPr>
              <w:pStyle w:val="Style8"/>
              <w:widowControl/>
              <w:ind w:right="4838"/>
              <w:rPr>
                <w:rStyle w:val="FontStyle15"/>
              </w:rPr>
            </w:pPr>
            <w:r w:rsidRPr="002E257F">
              <w:rPr>
                <w:rStyle w:val="FontStyle15"/>
              </w:rPr>
              <w:t>Tel: 0151 224 7200</w:t>
            </w:r>
          </w:p>
        </w:tc>
        <w:tc>
          <w:tcPr>
            <w:tcW w:w="374" w:type="dxa"/>
            <w:tcBorders>
              <w:top w:val="nil"/>
              <w:left w:val="single" w:sz="6" w:space="0" w:color="auto"/>
              <w:bottom w:val="nil"/>
              <w:right w:val="nil"/>
            </w:tcBorders>
          </w:tcPr>
          <w:p w:rsidR="00000000" w:rsidRPr="002E257F" w:rsidRDefault="00D62778">
            <w:pPr>
              <w:pStyle w:val="Style5"/>
              <w:widowControl/>
            </w:pPr>
          </w:p>
        </w:tc>
        <w:tc>
          <w:tcPr>
            <w:tcW w:w="2626" w:type="dxa"/>
            <w:tcBorders>
              <w:top w:val="nil"/>
              <w:left w:val="nil"/>
              <w:bottom w:val="nil"/>
              <w:right w:val="single" w:sz="6" w:space="0" w:color="auto"/>
            </w:tcBorders>
          </w:tcPr>
          <w:p w:rsidR="00000000" w:rsidRPr="002E257F" w:rsidRDefault="00D62778">
            <w:pPr>
              <w:pStyle w:val="Style5"/>
              <w:widowControl/>
            </w:pPr>
          </w:p>
        </w:tc>
      </w:tr>
      <w:tr w:rsidR="00000000" w:rsidRPr="002E257F">
        <w:tblPrEx>
          <w:tblCellMar>
            <w:top w:w="0" w:type="dxa"/>
            <w:bottom w:w="0" w:type="dxa"/>
          </w:tblCellMar>
        </w:tblPrEx>
        <w:tc>
          <w:tcPr>
            <w:tcW w:w="7800" w:type="dxa"/>
            <w:tcBorders>
              <w:top w:val="nil"/>
              <w:left w:val="single" w:sz="6" w:space="0" w:color="auto"/>
              <w:bottom w:val="single" w:sz="6" w:space="0" w:color="auto"/>
              <w:right w:val="single" w:sz="6" w:space="0" w:color="auto"/>
            </w:tcBorders>
          </w:tcPr>
          <w:p w:rsidR="00000000" w:rsidRPr="002E257F" w:rsidRDefault="00D62778">
            <w:pPr>
              <w:pStyle w:val="Style8"/>
              <w:widowControl/>
              <w:spacing w:line="206" w:lineRule="exact"/>
              <w:rPr>
                <w:rStyle w:val="FontStyle15"/>
              </w:rPr>
            </w:pPr>
            <w:r w:rsidRPr="002E257F">
              <w:rPr>
                <w:rStyle w:val="FontStyle15"/>
              </w:rPr>
              <w:t>For more detailed guidance on electors' rights and the special powers of auditors, copies of the publication Council Accounts - A Guide to Your Rights are available from the National Audit Office website.</w:t>
            </w:r>
          </w:p>
        </w:tc>
        <w:tc>
          <w:tcPr>
            <w:tcW w:w="374" w:type="dxa"/>
            <w:tcBorders>
              <w:top w:val="nil"/>
              <w:left w:val="single" w:sz="6" w:space="0" w:color="auto"/>
              <w:bottom w:val="single" w:sz="6" w:space="0" w:color="auto"/>
              <w:right w:val="nil"/>
            </w:tcBorders>
          </w:tcPr>
          <w:p w:rsidR="00000000" w:rsidRPr="002E257F" w:rsidRDefault="00D62778">
            <w:pPr>
              <w:pStyle w:val="Style5"/>
              <w:widowControl/>
            </w:pPr>
          </w:p>
        </w:tc>
        <w:tc>
          <w:tcPr>
            <w:tcW w:w="2626" w:type="dxa"/>
            <w:tcBorders>
              <w:top w:val="nil"/>
              <w:left w:val="nil"/>
              <w:bottom w:val="single" w:sz="6" w:space="0" w:color="auto"/>
              <w:right w:val="single" w:sz="6" w:space="0" w:color="auto"/>
            </w:tcBorders>
          </w:tcPr>
          <w:p w:rsidR="00000000" w:rsidRPr="002E257F" w:rsidRDefault="00D62778">
            <w:pPr>
              <w:pStyle w:val="Style5"/>
              <w:widowControl/>
            </w:pPr>
          </w:p>
        </w:tc>
      </w:tr>
    </w:tbl>
    <w:p w:rsidR="002E257F" w:rsidRDefault="002E257F"/>
    <w:sectPr w:rsidR="002E257F" w:rsidSect="002E257F">
      <w:headerReference w:type="default" r:id="rId6"/>
      <w:type w:val="continuous"/>
      <w:pgSz w:w="16837" w:h="23810"/>
      <w:pgMar w:top="4508" w:right="3056" w:bottom="1440" w:left="297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78" w:rsidRDefault="00D62778">
      <w:r>
        <w:separator/>
      </w:r>
    </w:p>
  </w:endnote>
  <w:endnote w:type="continuationSeparator" w:id="0">
    <w:p w:rsidR="00D62778" w:rsidRDefault="00D6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78" w:rsidRDefault="00D62778">
      <w:r>
        <w:separator/>
      </w:r>
    </w:p>
  </w:footnote>
  <w:footnote w:type="continuationSeparator" w:id="0">
    <w:p w:rsidR="00D62778" w:rsidRDefault="00D6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7F" w:rsidRDefault="002E257F">
    <w:pPr>
      <w:pStyle w:val="Header"/>
    </w:pPr>
  </w:p>
  <w:p w:rsidR="002E257F" w:rsidRDefault="002E257F">
    <w:pPr>
      <w:pStyle w:val="Header"/>
    </w:pPr>
  </w:p>
  <w:p w:rsidR="002E257F" w:rsidRDefault="002E257F">
    <w:pPr>
      <w:pStyle w:val="Header"/>
    </w:pPr>
  </w:p>
  <w:p w:rsidR="002E257F" w:rsidRDefault="002E257F">
    <w:pPr>
      <w:pStyle w:val="Header"/>
    </w:pPr>
  </w:p>
  <w:p w:rsidR="002E257F" w:rsidRDefault="002E257F">
    <w:pPr>
      <w:pStyle w:val="Header"/>
    </w:pPr>
  </w:p>
  <w:p w:rsidR="002E257F" w:rsidRDefault="002E257F">
    <w:pPr>
      <w:pStyle w:val="Header"/>
    </w:pPr>
  </w:p>
  <w:p w:rsidR="002E257F" w:rsidRDefault="002E257F">
    <w:pPr>
      <w:pStyle w:val="Header"/>
    </w:pPr>
  </w:p>
  <w:p w:rsidR="002E257F" w:rsidRDefault="002E257F" w:rsidP="002E257F">
    <w:pPr>
      <w:pStyle w:val="Header"/>
      <w:jc w:val="center"/>
      <w:rPr>
        <w:b/>
        <w:sz w:val="28"/>
        <w:szCs w:val="28"/>
      </w:rPr>
    </w:pPr>
  </w:p>
  <w:p w:rsidR="002E257F" w:rsidRDefault="002E257F" w:rsidP="002E257F">
    <w:pPr>
      <w:pStyle w:val="Header"/>
      <w:jc w:val="center"/>
      <w:rPr>
        <w:b/>
        <w:sz w:val="28"/>
        <w:szCs w:val="28"/>
      </w:rPr>
    </w:pPr>
  </w:p>
  <w:p w:rsidR="002E257F" w:rsidRDefault="002E257F" w:rsidP="002E257F">
    <w:pPr>
      <w:pStyle w:val="Header"/>
      <w:jc w:val="center"/>
      <w:rPr>
        <w:b/>
        <w:sz w:val="28"/>
        <w:szCs w:val="28"/>
      </w:rPr>
    </w:pPr>
  </w:p>
  <w:p w:rsidR="002E257F" w:rsidRPr="002E257F" w:rsidRDefault="000E12E8" w:rsidP="002E257F">
    <w:pPr>
      <w:pStyle w:val="Header"/>
      <w:jc w:val="center"/>
      <w:rPr>
        <w:b/>
        <w:sz w:val="28"/>
        <w:szCs w:val="28"/>
      </w:rPr>
    </w:pPr>
    <w:r>
      <w:rPr>
        <w:b/>
        <w:sz w:val="28"/>
        <w:szCs w:val="28"/>
      </w:rPr>
      <w:t>WILMCOTE</w:t>
    </w:r>
    <w:r w:rsidR="002E257F" w:rsidRPr="002E257F">
      <w:rPr>
        <w:b/>
        <w:sz w:val="28"/>
        <w:szCs w:val="28"/>
      </w:rPr>
      <w:t xml:space="preserve">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57F"/>
    <w:rsid w:val="000E12E8"/>
    <w:rsid w:val="002E257F"/>
    <w:rsid w:val="00A62EA5"/>
    <w:rsid w:val="00D6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570C7D-4294-49B8-B179-496B0380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Garamond"/>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69" w:lineRule="exact"/>
    </w:pPr>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278" w:lineRule="exact"/>
    </w:pPr>
  </w:style>
  <w:style w:type="paragraph" w:customStyle="1" w:styleId="Style8">
    <w:name w:val="Style8"/>
    <w:basedOn w:val="Normal"/>
    <w:uiPriority w:val="99"/>
    <w:pPr>
      <w:spacing w:line="202" w:lineRule="exact"/>
    </w:pPr>
  </w:style>
  <w:style w:type="paragraph" w:customStyle="1" w:styleId="Style9">
    <w:name w:val="Style9"/>
    <w:basedOn w:val="Normal"/>
    <w:uiPriority w:val="99"/>
    <w:pPr>
      <w:spacing w:line="178" w:lineRule="exact"/>
    </w:pPr>
  </w:style>
  <w:style w:type="paragraph" w:customStyle="1" w:styleId="Style10">
    <w:name w:val="Style10"/>
    <w:basedOn w:val="Normal"/>
    <w:uiPriority w:val="99"/>
    <w:pPr>
      <w:spacing w:line="240" w:lineRule="exact"/>
    </w:pPr>
  </w:style>
  <w:style w:type="paragraph" w:customStyle="1" w:styleId="Style11">
    <w:name w:val="Style11"/>
    <w:basedOn w:val="Normal"/>
    <w:uiPriority w:val="99"/>
    <w:pPr>
      <w:spacing w:line="210" w:lineRule="exact"/>
    </w:pPr>
  </w:style>
  <w:style w:type="character" w:customStyle="1" w:styleId="FontStyle13">
    <w:name w:val="Font Style13"/>
    <w:uiPriority w:val="99"/>
    <w:rPr>
      <w:rFonts w:ascii="Garamond" w:hAnsi="Garamond" w:cs="Garamond"/>
      <w:b/>
      <w:bCs/>
      <w:sz w:val="22"/>
      <w:szCs w:val="22"/>
    </w:rPr>
  </w:style>
  <w:style w:type="character" w:customStyle="1" w:styleId="FontStyle14">
    <w:name w:val="Font Style14"/>
    <w:uiPriority w:val="99"/>
    <w:rPr>
      <w:rFonts w:ascii="Arial" w:hAnsi="Arial" w:cs="Arial"/>
      <w:b/>
      <w:bCs/>
      <w:sz w:val="24"/>
      <w:szCs w:val="24"/>
    </w:rPr>
  </w:style>
  <w:style w:type="character" w:customStyle="1" w:styleId="FontStyle15">
    <w:name w:val="Font Style15"/>
    <w:uiPriority w:val="99"/>
    <w:rPr>
      <w:rFonts w:ascii="Arial" w:hAnsi="Arial" w:cs="Arial"/>
      <w:b/>
      <w:bCs/>
      <w:sz w:val="16"/>
      <w:szCs w:val="16"/>
    </w:rPr>
  </w:style>
  <w:style w:type="character" w:customStyle="1" w:styleId="FontStyle16">
    <w:name w:val="Font Style16"/>
    <w:uiPriority w:val="99"/>
    <w:rPr>
      <w:rFonts w:ascii="Arial" w:hAnsi="Arial" w:cs="Arial"/>
      <w:sz w:val="16"/>
      <w:szCs w:val="16"/>
    </w:rPr>
  </w:style>
  <w:style w:type="character" w:styleId="Hyperlink">
    <w:name w:val="Hyperlink"/>
    <w:uiPriority w:val="99"/>
    <w:rPr>
      <w:color w:val="0066CC"/>
      <w:u w:val="single"/>
    </w:rPr>
  </w:style>
  <w:style w:type="paragraph" w:styleId="Header">
    <w:name w:val="header"/>
    <w:basedOn w:val="Normal"/>
    <w:link w:val="HeaderChar"/>
    <w:uiPriority w:val="99"/>
    <w:unhideWhenUsed/>
    <w:rsid w:val="002E257F"/>
    <w:pPr>
      <w:tabs>
        <w:tab w:val="center" w:pos="4513"/>
        <w:tab w:val="right" w:pos="9026"/>
      </w:tabs>
    </w:pPr>
  </w:style>
  <w:style w:type="character" w:customStyle="1" w:styleId="HeaderChar">
    <w:name w:val="Header Char"/>
    <w:link w:val="Header"/>
    <w:uiPriority w:val="99"/>
    <w:rsid w:val="002E257F"/>
    <w:rPr>
      <w:rFonts w:hAnsi="Garamond"/>
      <w:sz w:val="24"/>
      <w:szCs w:val="24"/>
    </w:rPr>
  </w:style>
  <w:style w:type="paragraph" w:styleId="Footer">
    <w:name w:val="footer"/>
    <w:basedOn w:val="Normal"/>
    <w:link w:val="FooterChar"/>
    <w:uiPriority w:val="99"/>
    <w:unhideWhenUsed/>
    <w:rsid w:val="002E257F"/>
    <w:pPr>
      <w:tabs>
        <w:tab w:val="center" w:pos="4513"/>
        <w:tab w:val="right" w:pos="9026"/>
      </w:tabs>
    </w:pPr>
  </w:style>
  <w:style w:type="character" w:customStyle="1" w:styleId="FooterChar">
    <w:name w:val="Footer Char"/>
    <w:link w:val="Footer"/>
    <w:uiPriority w:val="99"/>
    <w:rsid w:val="002E257F"/>
    <w:rPr>
      <w:rFonts w:hAnsi="Garamond"/>
      <w:sz w:val="24"/>
      <w:szCs w:val="24"/>
    </w:rPr>
  </w:style>
  <w:style w:type="paragraph" w:styleId="BalloonText">
    <w:name w:val="Balloon Text"/>
    <w:basedOn w:val="Normal"/>
    <w:link w:val="BalloonTextChar"/>
    <w:uiPriority w:val="99"/>
    <w:semiHidden/>
    <w:unhideWhenUsed/>
    <w:rsid w:val="002E257F"/>
    <w:rPr>
      <w:rFonts w:ascii="Segoe UI" w:hAnsi="Segoe UI" w:cs="Segoe UI"/>
      <w:sz w:val="18"/>
      <w:szCs w:val="18"/>
    </w:rPr>
  </w:style>
  <w:style w:type="character" w:customStyle="1" w:styleId="BalloonTextChar">
    <w:name w:val="Balloon Text Char"/>
    <w:link w:val="BalloonText"/>
    <w:uiPriority w:val="99"/>
    <w:semiHidden/>
    <w:rsid w:val="002E2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2</cp:revision>
  <cp:lastPrinted>2016-05-03T23:08:00Z</cp:lastPrinted>
  <dcterms:created xsi:type="dcterms:W3CDTF">2016-05-03T23:13:00Z</dcterms:created>
  <dcterms:modified xsi:type="dcterms:W3CDTF">2016-05-03T23:13:00Z</dcterms:modified>
</cp:coreProperties>
</file>