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3B" w:rsidRPr="000F1C8B" w:rsidRDefault="000F1C8B" w:rsidP="000F1C8B">
      <w:pPr>
        <w:pStyle w:val="Heading1"/>
        <w:jc w:val="center"/>
        <w:rPr>
          <w:color w:val="auto"/>
          <w:u w:val="single"/>
        </w:rPr>
      </w:pPr>
      <w:r w:rsidRPr="000F1C8B">
        <w:rPr>
          <w:color w:val="auto"/>
          <w:u w:val="single"/>
        </w:rPr>
        <w:t>Wilmcote Parish, Stratford upon Avon District, Warwickshire</w:t>
      </w:r>
    </w:p>
    <w:p w:rsidR="000F1C8B" w:rsidRPr="009150AC" w:rsidRDefault="000F1C8B" w:rsidP="005B44C5">
      <w:pPr>
        <w:pStyle w:val="Heading1"/>
        <w:jc w:val="both"/>
        <w:rPr>
          <w:rFonts w:asciiTheme="minorHAnsi" w:hAnsiTheme="minorHAnsi"/>
          <w:b w:val="0"/>
          <w:color w:val="auto"/>
          <w:sz w:val="22"/>
          <w:szCs w:val="22"/>
        </w:rPr>
      </w:pPr>
      <w:r w:rsidRPr="009150AC">
        <w:rPr>
          <w:rFonts w:asciiTheme="minorHAnsi" w:hAnsiTheme="minorHAnsi"/>
          <w:b w:val="0"/>
          <w:color w:val="auto"/>
          <w:sz w:val="22"/>
          <w:szCs w:val="22"/>
        </w:rPr>
        <w:t xml:space="preserve">The parish of Wilmcote consists of the village of Wilmcote and the hamlet of Pathlow and their surrounding fields.  It has a rich history, </w:t>
      </w:r>
      <w:r w:rsidR="009150AC" w:rsidRPr="009150AC">
        <w:rPr>
          <w:rFonts w:asciiTheme="minorHAnsi" w:hAnsiTheme="minorHAnsi"/>
          <w:b w:val="0"/>
          <w:color w:val="auto"/>
          <w:sz w:val="22"/>
          <w:szCs w:val="22"/>
        </w:rPr>
        <w:t>with both the village and hamlet appearing in The Doomsday Book.  Its most famous building, and a source of tourism, is</w:t>
      </w:r>
      <w:r w:rsidRPr="009150AC">
        <w:rPr>
          <w:rFonts w:asciiTheme="minorHAnsi" w:hAnsiTheme="minorHAnsi"/>
          <w:b w:val="0"/>
          <w:color w:val="auto"/>
          <w:sz w:val="22"/>
          <w:szCs w:val="22"/>
        </w:rPr>
        <w:t xml:space="preserve"> Mary Arden’s House, originally the farm of William Shakespeare’s grandfather, Robert Shakespeare, and then the home of his parents.</w:t>
      </w:r>
      <w:r w:rsidR="005B44C5" w:rsidRPr="009150AC">
        <w:rPr>
          <w:rFonts w:asciiTheme="minorHAnsi" w:hAnsiTheme="minorHAnsi"/>
          <w:b w:val="0"/>
          <w:color w:val="auto"/>
          <w:sz w:val="22"/>
          <w:szCs w:val="22"/>
        </w:rPr>
        <w:t xml:space="preserve"> In all, the parish has 19 buildings listed by English Heritage.</w:t>
      </w:r>
    </w:p>
    <w:p w:rsidR="005B44C5" w:rsidRDefault="005B44C5" w:rsidP="005B44C5"/>
    <w:p w:rsidR="000D4523" w:rsidRDefault="00B55869" w:rsidP="000D4523">
      <w:r>
        <w:t>As at January 2013</w:t>
      </w:r>
      <w:r w:rsidR="00D96A55">
        <w:t xml:space="preserve"> (main source is the updated 2011 census)</w:t>
      </w:r>
      <w:r w:rsidR="005B44C5">
        <w:t xml:space="preserve">, the parish has </w:t>
      </w:r>
      <w:r>
        <w:t xml:space="preserve">an estimated </w:t>
      </w:r>
      <w:r w:rsidR="005B44C5">
        <w:t>1229 usual residents</w:t>
      </w:r>
      <w:r>
        <w:t xml:space="preserve"> in 525 households</w:t>
      </w:r>
      <w:r w:rsidR="001E1083">
        <w:t xml:space="preserve"> (with a further 24 household spaces with no usual residents)</w:t>
      </w:r>
      <w:r>
        <w:t>.</w:t>
      </w:r>
      <w:r w:rsidR="000D4523">
        <w:t xml:space="preserve">  The type of housing is generally typical of both the Stratford upon Avon District and England as a whole in many aspects, but significantly different in a few.  The</w:t>
      </w:r>
      <w:r w:rsidR="002E3D6A">
        <w:t xml:space="preserve"> main</w:t>
      </w:r>
      <w:r w:rsidR="000D4523">
        <w:t xml:space="preserve"> </w:t>
      </w:r>
      <w:r w:rsidR="00974FD6">
        <w:t xml:space="preserve">statistically significant </w:t>
      </w:r>
      <w:r w:rsidR="000D4523">
        <w:t>differences are shown below:</w:t>
      </w:r>
    </w:p>
    <w:p w:rsidR="000D4523" w:rsidRDefault="000D4523" w:rsidP="005B44C5">
      <w:r>
        <w:t xml:space="preserve"> </w:t>
      </w:r>
      <w:r w:rsidR="00B55869">
        <w:t xml:space="preserve">  </w:t>
      </w:r>
    </w:p>
    <w:tbl>
      <w:tblPr>
        <w:tblStyle w:val="TableGrid"/>
        <w:tblW w:w="0" w:type="auto"/>
        <w:tblLook w:val="04A0" w:firstRow="1" w:lastRow="0" w:firstColumn="1" w:lastColumn="0" w:noHBand="0" w:noVBand="1"/>
      </w:tblPr>
      <w:tblGrid>
        <w:gridCol w:w="2310"/>
        <w:gridCol w:w="2310"/>
        <w:gridCol w:w="2311"/>
        <w:gridCol w:w="2311"/>
      </w:tblGrid>
      <w:tr w:rsidR="000D4523" w:rsidTr="000D4523">
        <w:tc>
          <w:tcPr>
            <w:tcW w:w="2310" w:type="dxa"/>
          </w:tcPr>
          <w:p w:rsidR="000D4523" w:rsidRDefault="000D4523" w:rsidP="00E52718"/>
        </w:tc>
        <w:tc>
          <w:tcPr>
            <w:tcW w:w="2310" w:type="dxa"/>
          </w:tcPr>
          <w:p w:rsidR="000D4523" w:rsidRDefault="000D4523" w:rsidP="00E52718">
            <w:pPr>
              <w:jc w:val="center"/>
            </w:pPr>
            <w:r>
              <w:t>Wilmcote</w:t>
            </w:r>
          </w:p>
        </w:tc>
        <w:tc>
          <w:tcPr>
            <w:tcW w:w="2311" w:type="dxa"/>
          </w:tcPr>
          <w:p w:rsidR="000D4523" w:rsidRDefault="000D4523" w:rsidP="00E52718">
            <w:pPr>
              <w:jc w:val="center"/>
            </w:pPr>
            <w:r>
              <w:t>SDC</w:t>
            </w:r>
          </w:p>
        </w:tc>
        <w:tc>
          <w:tcPr>
            <w:tcW w:w="2311" w:type="dxa"/>
          </w:tcPr>
          <w:p w:rsidR="000D4523" w:rsidRDefault="000D4523" w:rsidP="00E52718">
            <w:pPr>
              <w:jc w:val="center"/>
            </w:pPr>
            <w:r>
              <w:t>England</w:t>
            </w:r>
          </w:p>
        </w:tc>
      </w:tr>
      <w:tr w:rsidR="000D4523" w:rsidTr="000D4523">
        <w:trPr>
          <w:trHeight w:val="504"/>
        </w:trPr>
        <w:tc>
          <w:tcPr>
            <w:tcW w:w="2310" w:type="dxa"/>
          </w:tcPr>
          <w:p w:rsidR="000D4523" w:rsidRDefault="000D4523" w:rsidP="005B44C5">
            <w:r>
              <w:t>Owned as a % of total households</w:t>
            </w:r>
          </w:p>
        </w:tc>
        <w:tc>
          <w:tcPr>
            <w:tcW w:w="2310" w:type="dxa"/>
          </w:tcPr>
          <w:p w:rsidR="000D4523" w:rsidRDefault="000D4523" w:rsidP="000D4523">
            <w:pPr>
              <w:jc w:val="center"/>
            </w:pPr>
            <w:r>
              <w:t>83%</w:t>
            </w:r>
          </w:p>
        </w:tc>
        <w:tc>
          <w:tcPr>
            <w:tcW w:w="2311" w:type="dxa"/>
          </w:tcPr>
          <w:p w:rsidR="000D4523" w:rsidRDefault="000D4523" w:rsidP="000D4523">
            <w:pPr>
              <w:jc w:val="center"/>
            </w:pPr>
            <w:r>
              <w:t>72%</w:t>
            </w:r>
          </w:p>
        </w:tc>
        <w:tc>
          <w:tcPr>
            <w:tcW w:w="2311" w:type="dxa"/>
          </w:tcPr>
          <w:p w:rsidR="000D4523" w:rsidRDefault="000D4523" w:rsidP="000D4523">
            <w:pPr>
              <w:jc w:val="center"/>
            </w:pPr>
            <w:r>
              <w:t>63%</w:t>
            </w:r>
          </w:p>
        </w:tc>
      </w:tr>
      <w:tr w:rsidR="000D4523" w:rsidTr="000D4523">
        <w:trPr>
          <w:trHeight w:val="512"/>
        </w:trPr>
        <w:tc>
          <w:tcPr>
            <w:tcW w:w="2310" w:type="dxa"/>
          </w:tcPr>
          <w:p w:rsidR="000D4523" w:rsidRDefault="000D4523" w:rsidP="005B44C5">
            <w:r>
              <w:t xml:space="preserve">Social rented </w:t>
            </w:r>
            <w:r w:rsidR="009E2F20">
              <w:t>as a % of total households</w:t>
            </w:r>
          </w:p>
        </w:tc>
        <w:tc>
          <w:tcPr>
            <w:tcW w:w="2310" w:type="dxa"/>
          </w:tcPr>
          <w:p w:rsidR="000D4523" w:rsidRDefault="00DE007A" w:rsidP="000D4523">
            <w:pPr>
              <w:jc w:val="center"/>
            </w:pPr>
            <w:r>
              <w:t>8%</w:t>
            </w:r>
          </w:p>
        </w:tc>
        <w:tc>
          <w:tcPr>
            <w:tcW w:w="2311" w:type="dxa"/>
          </w:tcPr>
          <w:p w:rsidR="000D4523" w:rsidRDefault="00DE007A" w:rsidP="000D4523">
            <w:pPr>
              <w:jc w:val="center"/>
            </w:pPr>
            <w:r>
              <w:t>13%</w:t>
            </w:r>
          </w:p>
        </w:tc>
        <w:tc>
          <w:tcPr>
            <w:tcW w:w="2311" w:type="dxa"/>
          </w:tcPr>
          <w:p w:rsidR="000D4523" w:rsidRDefault="00DE007A" w:rsidP="000D4523">
            <w:pPr>
              <w:jc w:val="center"/>
            </w:pPr>
            <w:r>
              <w:t>18%</w:t>
            </w:r>
          </w:p>
        </w:tc>
      </w:tr>
      <w:tr w:rsidR="000D4523" w:rsidTr="009E2F20">
        <w:trPr>
          <w:trHeight w:val="534"/>
        </w:trPr>
        <w:tc>
          <w:tcPr>
            <w:tcW w:w="2310" w:type="dxa"/>
          </w:tcPr>
          <w:p w:rsidR="000D4523" w:rsidRDefault="00DE007A" w:rsidP="005B44C5">
            <w:r>
              <w:t>Private rented as a % of total households</w:t>
            </w:r>
          </w:p>
        </w:tc>
        <w:tc>
          <w:tcPr>
            <w:tcW w:w="2310" w:type="dxa"/>
          </w:tcPr>
          <w:p w:rsidR="000D4523" w:rsidRDefault="00DE007A" w:rsidP="000D4523">
            <w:pPr>
              <w:jc w:val="center"/>
            </w:pPr>
            <w:r>
              <w:t>7%</w:t>
            </w:r>
          </w:p>
        </w:tc>
        <w:tc>
          <w:tcPr>
            <w:tcW w:w="2311" w:type="dxa"/>
          </w:tcPr>
          <w:p w:rsidR="000D4523" w:rsidRDefault="00DE007A" w:rsidP="000D4523">
            <w:pPr>
              <w:jc w:val="center"/>
            </w:pPr>
            <w:r>
              <w:t>13%</w:t>
            </w:r>
          </w:p>
        </w:tc>
        <w:tc>
          <w:tcPr>
            <w:tcW w:w="2311" w:type="dxa"/>
          </w:tcPr>
          <w:p w:rsidR="000D4523" w:rsidRDefault="00DE007A" w:rsidP="000D4523">
            <w:pPr>
              <w:jc w:val="center"/>
            </w:pPr>
            <w:r>
              <w:t>17%</w:t>
            </w:r>
          </w:p>
        </w:tc>
      </w:tr>
    </w:tbl>
    <w:p w:rsidR="000D4523" w:rsidRDefault="000D4523" w:rsidP="005B44C5"/>
    <w:p w:rsidR="000D4523" w:rsidRDefault="000D4523" w:rsidP="005B44C5"/>
    <w:p w:rsidR="005B44C5" w:rsidRDefault="002A35A9" w:rsidP="005B44C5">
      <w:r>
        <w:t xml:space="preserve">  </w:t>
      </w:r>
      <w:r w:rsidR="008309E3">
        <w:t xml:space="preserve">The composition of the dwellings in the parish is typical of both the Stratford upon Avon District and England as a whole in many aspects, but significantly different in a </w:t>
      </w:r>
      <w:r w:rsidR="00974FD6">
        <w:t>few.  The main</w:t>
      </w:r>
      <w:r w:rsidR="008309E3">
        <w:t xml:space="preserve"> </w:t>
      </w:r>
      <w:r w:rsidR="00974FD6">
        <w:t xml:space="preserve">statistically significant </w:t>
      </w:r>
      <w:r w:rsidR="008309E3">
        <w:t>differences are shown below:</w:t>
      </w:r>
    </w:p>
    <w:p w:rsidR="008309E3" w:rsidRDefault="008309E3" w:rsidP="005B44C5"/>
    <w:tbl>
      <w:tblPr>
        <w:tblStyle w:val="TableGrid"/>
        <w:tblW w:w="0" w:type="auto"/>
        <w:tblLook w:val="04A0" w:firstRow="1" w:lastRow="0" w:firstColumn="1" w:lastColumn="0" w:noHBand="0" w:noVBand="1"/>
      </w:tblPr>
      <w:tblGrid>
        <w:gridCol w:w="2310"/>
        <w:gridCol w:w="2310"/>
        <w:gridCol w:w="2311"/>
        <w:gridCol w:w="2311"/>
      </w:tblGrid>
      <w:tr w:rsidR="008309E3" w:rsidTr="008309E3">
        <w:tc>
          <w:tcPr>
            <w:tcW w:w="2310" w:type="dxa"/>
          </w:tcPr>
          <w:p w:rsidR="008309E3" w:rsidRDefault="008309E3" w:rsidP="005B44C5"/>
        </w:tc>
        <w:tc>
          <w:tcPr>
            <w:tcW w:w="2310" w:type="dxa"/>
          </w:tcPr>
          <w:p w:rsidR="008309E3" w:rsidRDefault="008309E3" w:rsidP="008309E3">
            <w:pPr>
              <w:jc w:val="center"/>
            </w:pPr>
            <w:r>
              <w:t>Wilmcote</w:t>
            </w:r>
          </w:p>
        </w:tc>
        <w:tc>
          <w:tcPr>
            <w:tcW w:w="2311" w:type="dxa"/>
          </w:tcPr>
          <w:p w:rsidR="008309E3" w:rsidRDefault="008309E3" w:rsidP="008309E3">
            <w:pPr>
              <w:jc w:val="center"/>
            </w:pPr>
            <w:r>
              <w:t>SDC</w:t>
            </w:r>
          </w:p>
        </w:tc>
        <w:tc>
          <w:tcPr>
            <w:tcW w:w="2311" w:type="dxa"/>
          </w:tcPr>
          <w:p w:rsidR="008309E3" w:rsidRDefault="008309E3" w:rsidP="008309E3">
            <w:pPr>
              <w:jc w:val="center"/>
            </w:pPr>
            <w:r>
              <w:t>England</w:t>
            </w:r>
          </w:p>
        </w:tc>
      </w:tr>
      <w:tr w:rsidR="008309E3" w:rsidTr="008309E3">
        <w:trPr>
          <w:trHeight w:val="788"/>
        </w:trPr>
        <w:tc>
          <w:tcPr>
            <w:tcW w:w="2310" w:type="dxa"/>
          </w:tcPr>
          <w:p w:rsidR="008309E3" w:rsidRDefault="008309E3" w:rsidP="005B44C5">
            <w:r>
              <w:t>Detached houses and bungalows as % of all dwellings</w:t>
            </w:r>
          </w:p>
        </w:tc>
        <w:tc>
          <w:tcPr>
            <w:tcW w:w="2310" w:type="dxa"/>
          </w:tcPr>
          <w:p w:rsidR="008309E3" w:rsidRDefault="008309E3" w:rsidP="008309E3">
            <w:pPr>
              <w:jc w:val="center"/>
            </w:pPr>
            <w:r>
              <w:t>49.5%</w:t>
            </w:r>
          </w:p>
        </w:tc>
        <w:tc>
          <w:tcPr>
            <w:tcW w:w="2311" w:type="dxa"/>
          </w:tcPr>
          <w:p w:rsidR="008309E3" w:rsidRDefault="008309E3" w:rsidP="008309E3">
            <w:pPr>
              <w:jc w:val="center"/>
            </w:pPr>
            <w:r>
              <w:t>37.2%</w:t>
            </w:r>
          </w:p>
        </w:tc>
        <w:tc>
          <w:tcPr>
            <w:tcW w:w="2311" w:type="dxa"/>
          </w:tcPr>
          <w:p w:rsidR="008309E3" w:rsidRDefault="008309E3" w:rsidP="008309E3">
            <w:pPr>
              <w:jc w:val="center"/>
            </w:pPr>
            <w:r>
              <w:t>22.4%</w:t>
            </w:r>
          </w:p>
        </w:tc>
      </w:tr>
      <w:tr w:rsidR="008309E3" w:rsidTr="00AC6F07">
        <w:trPr>
          <w:trHeight w:val="790"/>
        </w:trPr>
        <w:tc>
          <w:tcPr>
            <w:tcW w:w="2310" w:type="dxa"/>
          </w:tcPr>
          <w:p w:rsidR="008309E3" w:rsidRDefault="00AC6F07" w:rsidP="005B44C5">
            <w:r>
              <w:t>Caravans, mobile or temporary structures as % of all dwellings</w:t>
            </w:r>
          </w:p>
        </w:tc>
        <w:tc>
          <w:tcPr>
            <w:tcW w:w="2310" w:type="dxa"/>
          </w:tcPr>
          <w:p w:rsidR="008309E3" w:rsidRDefault="00AC6F07" w:rsidP="00AC6F07">
            <w:pPr>
              <w:jc w:val="center"/>
            </w:pPr>
            <w:r>
              <w:t>10.5%</w:t>
            </w:r>
          </w:p>
        </w:tc>
        <w:tc>
          <w:tcPr>
            <w:tcW w:w="2311" w:type="dxa"/>
          </w:tcPr>
          <w:p w:rsidR="008309E3" w:rsidRDefault="00AC6F07" w:rsidP="00AC6F07">
            <w:pPr>
              <w:jc w:val="center"/>
            </w:pPr>
            <w:r>
              <w:t>1.3%</w:t>
            </w:r>
          </w:p>
        </w:tc>
        <w:tc>
          <w:tcPr>
            <w:tcW w:w="2311" w:type="dxa"/>
          </w:tcPr>
          <w:p w:rsidR="008309E3" w:rsidRDefault="00AC6F07" w:rsidP="00AC6F07">
            <w:pPr>
              <w:jc w:val="center"/>
            </w:pPr>
            <w:r>
              <w:t>0.4%</w:t>
            </w:r>
          </w:p>
        </w:tc>
      </w:tr>
      <w:tr w:rsidR="001B69EC" w:rsidTr="001B69EC">
        <w:trPr>
          <w:trHeight w:val="97"/>
        </w:trPr>
        <w:tc>
          <w:tcPr>
            <w:tcW w:w="2310" w:type="dxa"/>
          </w:tcPr>
          <w:p w:rsidR="001B69EC" w:rsidRDefault="001B69EC" w:rsidP="005B44C5"/>
        </w:tc>
        <w:tc>
          <w:tcPr>
            <w:tcW w:w="2310" w:type="dxa"/>
          </w:tcPr>
          <w:p w:rsidR="001B69EC" w:rsidRDefault="001B69EC" w:rsidP="00AC6F07">
            <w:pPr>
              <w:jc w:val="center"/>
            </w:pPr>
          </w:p>
        </w:tc>
        <w:tc>
          <w:tcPr>
            <w:tcW w:w="2311" w:type="dxa"/>
          </w:tcPr>
          <w:p w:rsidR="001B69EC" w:rsidRDefault="001B69EC" w:rsidP="00AC6F07">
            <w:pPr>
              <w:jc w:val="center"/>
            </w:pPr>
          </w:p>
        </w:tc>
        <w:tc>
          <w:tcPr>
            <w:tcW w:w="2311" w:type="dxa"/>
          </w:tcPr>
          <w:p w:rsidR="001B69EC" w:rsidRDefault="001B69EC" w:rsidP="00AC6F07">
            <w:pPr>
              <w:jc w:val="center"/>
            </w:pPr>
          </w:p>
        </w:tc>
      </w:tr>
      <w:tr w:rsidR="001B69EC" w:rsidTr="001B69EC">
        <w:trPr>
          <w:trHeight w:val="101"/>
        </w:trPr>
        <w:tc>
          <w:tcPr>
            <w:tcW w:w="2310" w:type="dxa"/>
          </w:tcPr>
          <w:p w:rsidR="001B69EC" w:rsidRDefault="001B69EC" w:rsidP="005B44C5"/>
        </w:tc>
        <w:tc>
          <w:tcPr>
            <w:tcW w:w="2310" w:type="dxa"/>
          </w:tcPr>
          <w:p w:rsidR="001B69EC" w:rsidRDefault="001B69EC" w:rsidP="00AC6F07">
            <w:pPr>
              <w:jc w:val="center"/>
            </w:pPr>
          </w:p>
        </w:tc>
        <w:tc>
          <w:tcPr>
            <w:tcW w:w="2311" w:type="dxa"/>
          </w:tcPr>
          <w:p w:rsidR="001B69EC" w:rsidRDefault="001B69EC" w:rsidP="00AC6F07">
            <w:pPr>
              <w:jc w:val="center"/>
            </w:pPr>
          </w:p>
        </w:tc>
        <w:tc>
          <w:tcPr>
            <w:tcW w:w="2311" w:type="dxa"/>
          </w:tcPr>
          <w:p w:rsidR="001B69EC" w:rsidRDefault="001B69EC" w:rsidP="00AC6F07">
            <w:pPr>
              <w:jc w:val="center"/>
            </w:pPr>
          </w:p>
        </w:tc>
      </w:tr>
      <w:tr w:rsidR="008309E3" w:rsidTr="00AC6F07">
        <w:trPr>
          <w:trHeight w:val="958"/>
        </w:trPr>
        <w:tc>
          <w:tcPr>
            <w:tcW w:w="2310" w:type="dxa"/>
          </w:tcPr>
          <w:p w:rsidR="008309E3" w:rsidRDefault="00AC6F07" w:rsidP="005B44C5">
            <w:r>
              <w:t>Dwell</w:t>
            </w:r>
            <w:r w:rsidR="000E5663">
              <w:t>ings in council tax bands E to H</w:t>
            </w:r>
            <w:r>
              <w:t xml:space="preserve"> inc. as % of all dwellings</w:t>
            </w:r>
          </w:p>
        </w:tc>
        <w:tc>
          <w:tcPr>
            <w:tcW w:w="2310" w:type="dxa"/>
          </w:tcPr>
          <w:p w:rsidR="008309E3" w:rsidRDefault="00DE007A" w:rsidP="00AC6F07">
            <w:pPr>
              <w:jc w:val="center"/>
            </w:pPr>
            <w:r>
              <w:t>45%</w:t>
            </w:r>
          </w:p>
        </w:tc>
        <w:tc>
          <w:tcPr>
            <w:tcW w:w="2311" w:type="dxa"/>
          </w:tcPr>
          <w:p w:rsidR="008309E3" w:rsidRDefault="001B69EC" w:rsidP="00AC6F07">
            <w:pPr>
              <w:jc w:val="center"/>
            </w:pPr>
            <w:r>
              <w:t>35%</w:t>
            </w:r>
          </w:p>
        </w:tc>
        <w:tc>
          <w:tcPr>
            <w:tcW w:w="2311" w:type="dxa"/>
          </w:tcPr>
          <w:p w:rsidR="008309E3" w:rsidRDefault="001B69EC" w:rsidP="00AC6F07">
            <w:pPr>
              <w:jc w:val="center"/>
            </w:pPr>
            <w:r>
              <w:t>19%</w:t>
            </w:r>
          </w:p>
        </w:tc>
      </w:tr>
    </w:tbl>
    <w:p w:rsidR="005B44C5" w:rsidRDefault="005B44C5" w:rsidP="005B44C5">
      <w:pPr>
        <w:jc w:val="both"/>
      </w:pPr>
    </w:p>
    <w:p w:rsidR="00C65ED4" w:rsidRDefault="00C65ED4" w:rsidP="005B44C5">
      <w:pPr>
        <w:jc w:val="both"/>
      </w:pPr>
      <w:r>
        <w:lastRenderedPageBreak/>
        <w:t xml:space="preserve">The dwelling stock </w:t>
      </w:r>
      <w:r w:rsidR="00F553A6">
        <w:t xml:space="preserve">in Wilmcote Parish has been very stable for some time.  </w:t>
      </w:r>
      <w:r w:rsidR="00613D2E">
        <w:t>There have been no large developments and, since the dwellings are generally surrounded by Green Belt and there is little room for infill, there are no plans for significant housing developments.  Stratford District 5 year housing plans do not mention Wilmcote.  Stratford District Planning figures (which exclude Travellers sites, which are handled separately) show that, i</w:t>
      </w:r>
      <w:r w:rsidR="00F553A6">
        <w:t>n the last five years</w:t>
      </w:r>
      <w:r w:rsidR="00613D2E">
        <w:t>,</w:t>
      </w:r>
      <w:r w:rsidR="00F553A6">
        <w:t xml:space="preserve"> </w:t>
      </w:r>
      <w:r w:rsidR="00201D25">
        <w:t>15</w:t>
      </w:r>
      <w:r w:rsidR="00F553A6">
        <w:t xml:space="preserve"> new dwellings have been approved in the parish</w:t>
      </w:r>
      <w:r w:rsidR="00201D25">
        <w:t xml:space="preserve">; only 8 of these are adding to our housing stock, as the rest are replacements </w:t>
      </w:r>
      <w:r w:rsidR="0097729F">
        <w:t>or reloca</w:t>
      </w:r>
      <w:r w:rsidR="00613D2E">
        <w:t>tions of mobile homes. All 8</w:t>
      </w:r>
      <w:r w:rsidR="0097729F">
        <w:t xml:space="preserve"> are considered windfalls with 6 of them being one large windfall</w:t>
      </w:r>
      <w:r w:rsidR="00613D2E">
        <w:t>, and none of the 8 have been started to date. It is believed that over the same five years the number of pitches on Travellers sites in the parish have increased by 11.</w:t>
      </w:r>
    </w:p>
    <w:p w:rsidR="00C65ED4" w:rsidRDefault="00C65ED4" w:rsidP="005B44C5">
      <w:pPr>
        <w:jc w:val="both"/>
      </w:pPr>
    </w:p>
    <w:p w:rsidR="00C65ED4" w:rsidRDefault="00C65ED4" w:rsidP="005B44C5">
      <w:pPr>
        <w:jc w:val="both"/>
      </w:pPr>
    </w:p>
    <w:p w:rsidR="00D96A55" w:rsidRDefault="005B59D2" w:rsidP="005B44C5">
      <w:pPr>
        <w:jc w:val="both"/>
      </w:pPr>
      <w:r>
        <w:t>Of the 1229 usual residents, about 18</w:t>
      </w:r>
      <w:r w:rsidR="00204685">
        <w:t>% are 15 years old or less, a similar percentage to that in Stratford District and in the whole of England.  However, Wilmcote Parish has a slightly higher percentage of older residents, 10.7% being 75 or older</w:t>
      </w:r>
      <w:r w:rsidR="00306482">
        <w:t xml:space="preserve">.  The Stratford District review of 2009 highlighted the </w:t>
      </w:r>
      <w:r w:rsidR="00137E99">
        <w:t xml:space="preserve">above average age of its population compared to the national average as an issue for the future, with projections that the percentage of 65 and over would rise from 18% in 2006 to 29% by 2031 </w:t>
      </w:r>
      <w:r w:rsidR="005B68A0">
        <w:t>(with</w:t>
      </w:r>
      <w:r w:rsidR="00137E99">
        <w:t xml:space="preserve"> this 2009 paper stating that the district had 24% of its population having reached retirement age against a national average of 19%). </w:t>
      </w:r>
      <w:r w:rsidR="00CB7AA6">
        <w:t xml:space="preserve">The table below attempts to see if this issue is relevant to Wilmcote Parish, by adding those aged 75 and above to those classified in the 2011 census </w:t>
      </w:r>
      <w:r>
        <w:t xml:space="preserve">(updated to January 2013) </w:t>
      </w:r>
      <w:r w:rsidR="009261E4">
        <w:t>as between 16</w:t>
      </w:r>
      <w:r w:rsidR="00CB7AA6">
        <w:t xml:space="preserve"> and 74 but economically inactive due to retirement:</w:t>
      </w:r>
    </w:p>
    <w:p w:rsidR="00CB7AA6" w:rsidRDefault="00CB7AA6" w:rsidP="005B44C5">
      <w:pPr>
        <w:jc w:val="both"/>
      </w:pPr>
    </w:p>
    <w:tbl>
      <w:tblPr>
        <w:tblStyle w:val="TableGrid"/>
        <w:tblW w:w="0" w:type="auto"/>
        <w:tblLook w:val="04A0" w:firstRow="1" w:lastRow="0" w:firstColumn="1" w:lastColumn="0" w:noHBand="0" w:noVBand="1"/>
      </w:tblPr>
      <w:tblGrid>
        <w:gridCol w:w="2310"/>
        <w:gridCol w:w="2310"/>
        <w:gridCol w:w="2311"/>
        <w:gridCol w:w="2311"/>
      </w:tblGrid>
      <w:tr w:rsidR="00CB7AA6" w:rsidTr="00CB7AA6">
        <w:tc>
          <w:tcPr>
            <w:tcW w:w="2310" w:type="dxa"/>
          </w:tcPr>
          <w:p w:rsidR="00CB7AA6" w:rsidRDefault="00CB7AA6" w:rsidP="00DA5A8B">
            <w:r>
              <w:t xml:space="preserve">Residents </w:t>
            </w:r>
          </w:p>
        </w:tc>
        <w:tc>
          <w:tcPr>
            <w:tcW w:w="2310" w:type="dxa"/>
          </w:tcPr>
          <w:p w:rsidR="00CB7AA6" w:rsidRDefault="00CB7AA6" w:rsidP="00DA5A8B">
            <w:pPr>
              <w:jc w:val="center"/>
            </w:pPr>
            <w:r>
              <w:t>Wilmcote</w:t>
            </w:r>
          </w:p>
        </w:tc>
        <w:tc>
          <w:tcPr>
            <w:tcW w:w="2311" w:type="dxa"/>
          </w:tcPr>
          <w:p w:rsidR="00CB7AA6" w:rsidRDefault="00CB7AA6" w:rsidP="00DA5A8B">
            <w:pPr>
              <w:jc w:val="center"/>
            </w:pPr>
            <w:r>
              <w:t>SDC</w:t>
            </w:r>
          </w:p>
        </w:tc>
        <w:tc>
          <w:tcPr>
            <w:tcW w:w="2311" w:type="dxa"/>
          </w:tcPr>
          <w:p w:rsidR="00CB7AA6" w:rsidRDefault="00CB7AA6" w:rsidP="00DA5A8B">
            <w:pPr>
              <w:jc w:val="center"/>
            </w:pPr>
            <w:r>
              <w:t>England</w:t>
            </w:r>
          </w:p>
        </w:tc>
      </w:tr>
      <w:tr w:rsidR="00CB7AA6" w:rsidTr="00CB7AA6">
        <w:trPr>
          <w:trHeight w:val="586"/>
        </w:trPr>
        <w:tc>
          <w:tcPr>
            <w:tcW w:w="2310" w:type="dxa"/>
          </w:tcPr>
          <w:p w:rsidR="00CB7AA6" w:rsidRDefault="00CB7AA6" w:rsidP="005B44C5">
            <w:pPr>
              <w:jc w:val="both"/>
            </w:pPr>
            <w:r>
              <w:t>75+ as a % of all residents</w:t>
            </w:r>
          </w:p>
        </w:tc>
        <w:tc>
          <w:tcPr>
            <w:tcW w:w="2310" w:type="dxa"/>
          </w:tcPr>
          <w:p w:rsidR="00CB7AA6" w:rsidRDefault="00CB7AA6" w:rsidP="00CB7AA6">
            <w:pPr>
              <w:jc w:val="center"/>
            </w:pPr>
            <w:r>
              <w:t>10.7%</w:t>
            </w:r>
          </w:p>
        </w:tc>
        <w:tc>
          <w:tcPr>
            <w:tcW w:w="2311" w:type="dxa"/>
          </w:tcPr>
          <w:p w:rsidR="00CB7AA6" w:rsidRDefault="00CB7AA6" w:rsidP="00CB7AA6">
            <w:pPr>
              <w:jc w:val="center"/>
            </w:pPr>
            <w:r>
              <w:t>10.2%</w:t>
            </w:r>
          </w:p>
        </w:tc>
        <w:tc>
          <w:tcPr>
            <w:tcW w:w="2311" w:type="dxa"/>
          </w:tcPr>
          <w:p w:rsidR="00CB7AA6" w:rsidRDefault="00CB7AA6" w:rsidP="00CB7AA6">
            <w:pPr>
              <w:jc w:val="center"/>
            </w:pPr>
            <w:r>
              <w:t>7.8%</w:t>
            </w:r>
          </w:p>
        </w:tc>
      </w:tr>
      <w:tr w:rsidR="00CB7AA6" w:rsidTr="00CB7AA6">
        <w:tc>
          <w:tcPr>
            <w:tcW w:w="2310" w:type="dxa"/>
          </w:tcPr>
          <w:p w:rsidR="00CB7AA6" w:rsidRDefault="00CB7AA6" w:rsidP="005B44C5">
            <w:pPr>
              <w:jc w:val="both"/>
            </w:pPr>
            <w:r>
              <w:t>16 to 74, but economically inactive due to retirement as a % of all residents</w:t>
            </w:r>
          </w:p>
        </w:tc>
        <w:tc>
          <w:tcPr>
            <w:tcW w:w="2310" w:type="dxa"/>
          </w:tcPr>
          <w:p w:rsidR="00CB7AA6" w:rsidRDefault="005B68A0" w:rsidP="00CB7AA6">
            <w:pPr>
              <w:jc w:val="center"/>
            </w:pPr>
            <w:r>
              <w:t>14.3%</w:t>
            </w:r>
          </w:p>
        </w:tc>
        <w:tc>
          <w:tcPr>
            <w:tcW w:w="2311" w:type="dxa"/>
          </w:tcPr>
          <w:p w:rsidR="00CB7AA6" w:rsidRDefault="005B68A0" w:rsidP="00CB7AA6">
            <w:pPr>
              <w:jc w:val="center"/>
            </w:pPr>
            <w:r>
              <w:t>12.6%</w:t>
            </w:r>
          </w:p>
        </w:tc>
        <w:tc>
          <w:tcPr>
            <w:tcW w:w="2311" w:type="dxa"/>
          </w:tcPr>
          <w:p w:rsidR="00CB7AA6" w:rsidRDefault="005B68A0" w:rsidP="00CB7AA6">
            <w:pPr>
              <w:jc w:val="center"/>
            </w:pPr>
            <w:r>
              <w:t>10.0%</w:t>
            </w:r>
          </w:p>
        </w:tc>
      </w:tr>
      <w:tr w:rsidR="00CB7AA6" w:rsidTr="00CB7AA6">
        <w:tc>
          <w:tcPr>
            <w:tcW w:w="2310" w:type="dxa"/>
          </w:tcPr>
          <w:p w:rsidR="00CB7AA6" w:rsidRDefault="005B68A0" w:rsidP="005B44C5">
            <w:pPr>
              <w:jc w:val="both"/>
            </w:pPr>
            <w:r>
              <w:t>TOTAL</w:t>
            </w:r>
          </w:p>
        </w:tc>
        <w:tc>
          <w:tcPr>
            <w:tcW w:w="2310" w:type="dxa"/>
          </w:tcPr>
          <w:p w:rsidR="00CB7AA6" w:rsidRDefault="005B68A0" w:rsidP="00CB7AA6">
            <w:pPr>
              <w:jc w:val="center"/>
            </w:pPr>
            <w:r>
              <w:t>25%</w:t>
            </w:r>
          </w:p>
        </w:tc>
        <w:tc>
          <w:tcPr>
            <w:tcW w:w="2311" w:type="dxa"/>
          </w:tcPr>
          <w:p w:rsidR="00CB7AA6" w:rsidRDefault="005B68A0" w:rsidP="00CB7AA6">
            <w:pPr>
              <w:jc w:val="center"/>
            </w:pPr>
            <w:r>
              <w:t>22.8%</w:t>
            </w:r>
          </w:p>
        </w:tc>
        <w:tc>
          <w:tcPr>
            <w:tcW w:w="2311" w:type="dxa"/>
          </w:tcPr>
          <w:p w:rsidR="00CB7AA6" w:rsidRDefault="005B68A0" w:rsidP="00CB7AA6">
            <w:pPr>
              <w:jc w:val="center"/>
            </w:pPr>
            <w:r>
              <w:t>17.8%</w:t>
            </w:r>
          </w:p>
        </w:tc>
      </w:tr>
    </w:tbl>
    <w:p w:rsidR="00CB7AA6" w:rsidRDefault="00CB7AA6" w:rsidP="005B44C5">
      <w:pPr>
        <w:jc w:val="both"/>
      </w:pPr>
    </w:p>
    <w:p w:rsidR="005B68A0" w:rsidRDefault="005B68A0" w:rsidP="005B44C5">
      <w:pPr>
        <w:jc w:val="both"/>
      </w:pPr>
      <w:r>
        <w:t xml:space="preserve">These figures show that Wilmcote Parish is even more heavily skewed towards older retired residents than Stratford District as a whole, and this is perhaps the most significant feature of the </w:t>
      </w:r>
      <w:r w:rsidR="00C65ED4">
        <w:t>parish population</w:t>
      </w:r>
      <w:r>
        <w:t>.</w:t>
      </w:r>
    </w:p>
    <w:p w:rsidR="005B68A0" w:rsidRDefault="005B68A0" w:rsidP="005B44C5">
      <w:pPr>
        <w:jc w:val="both"/>
      </w:pPr>
    </w:p>
    <w:p w:rsidR="008E0E5D" w:rsidRDefault="005B68A0" w:rsidP="005B44C5">
      <w:pPr>
        <w:jc w:val="both"/>
      </w:pPr>
      <w:r>
        <w:t>Turning now to the economically</w:t>
      </w:r>
      <w:r w:rsidR="00F87986">
        <w:t xml:space="preserve"> active residents aged 16 to 74, </w:t>
      </w:r>
      <w:r w:rsidR="00D77FFE">
        <w:t xml:space="preserve">Wilmcote parish has 585 people, 47.6% of its population; this compares with 50.4% in Stratford District as a whole, and </w:t>
      </w:r>
      <w:r w:rsidR="004417CD">
        <w:t>47.5% in England.  It would appear that, compared to the country as a whole, Wilmcote’s higher retired population is partially countered by a lower economically active but unemployed percentage which is 1.1% compared with England’s 4.4%</w:t>
      </w:r>
      <w:r w:rsidR="00295B2B">
        <w:t>, an</w:t>
      </w:r>
      <w:r w:rsidR="00C65ED4">
        <w:t>d by a lower student population percentage.</w:t>
      </w:r>
      <w:r w:rsidR="004417CD">
        <w:t xml:space="preserve"> </w:t>
      </w:r>
      <w:r w:rsidR="00C65ED4">
        <w:t xml:space="preserve">The table </w:t>
      </w:r>
      <w:r w:rsidR="00C65ED4">
        <w:lastRenderedPageBreak/>
        <w:t>below again makes comparisons of parish figures with Stratford District and the whole of England</w:t>
      </w:r>
      <w:r w:rsidR="008E0E5D">
        <w:t>, focussing on the percentages of these economically active residents between 16 and 74 who fall into certain work related categories which might be relevant for our Neighbourhood Plan:</w:t>
      </w:r>
    </w:p>
    <w:tbl>
      <w:tblPr>
        <w:tblStyle w:val="TableGrid"/>
        <w:tblW w:w="0" w:type="auto"/>
        <w:tblLook w:val="04A0" w:firstRow="1" w:lastRow="0" w:firstColumn="1" w:lastColumn="0" w:noHBand="0" w:noVBand="1"/>
      </w:tblPr>
      <w:tblGrid>
        <w:gridCol w:w="3369"/>
        <w:gridCol w:w="1984"/>
        <w:gridCol w:w="1985"/>
        <w:gridCol w:w="1904"/>
      </w:tblGrid>
      <w:tr w:rsidR="008E0E5D" w:rsidTr="00521D0C">
        <w:tc>
          <w:tcPr>
            <w:tcW w:w="3369" w:type="dxa"/>
          </w:tcPr>
          <w:p w:rsidR="008E0E5D" w:rsidRDefault="008E0E5D" w:rsidP="00DA5A8B"/>
        </w:tc>
        <w:tc>
          <w:tcPr>
            <w:tcW w:w="1984" w:type="dxa"/>
          </w:tcPr>
          <w:p w:rsidR="008E0E5D" w:rsidRDefault="008E0E5D" w:rsidP="00DA5A8B">
            <w:pPr>
              <w:jc w:val="center"/>
            </w:pPr>
            <w:r>
              <w:t>Wilmcote</w:t>
            </w:r>
          </w:p>
        </w:tc>
        <w:tc>
          <w:tcPr>
            <w:tcW w:w="1985" w:type="dxa"/>
          </w:tcPr>
          <w:p w:rsidR="008E0E5D" w:rsidRDefault="008E0E5D" w:rsidP="00DA5A8B">
            <w:pPr>
              <w:jc w:val="center"/>
            </w:pPr>
            <w:r>
              <w:t>SDC</w:t>
            </w:r>
          </w:p>
        </w:tc>
        <w:tc>
          <w:tcPr>
            <w:tcW w:w="1904" w:type="dxa"/>
          </w:tcPr>
          <w:p w:rsidR="008E0E5D" w:rsidRDefault="008E0E5D" w:rsidP="00DA5A8B">
            <w:pPr>
              <w:jc w:val="center"/>
            </w:pPr>
            <w:r>
              <w:t>England</w:t>
            </w:r>
          </w:p>
        </w:tc>
      </w:tr>
      <w:tr w:rsidR="008E0E5D" w:rsidTr="00521D0C">
        <w:trPr>
          <w:trHeight w:val="535"/>
        </w:trPr>
        <w:tc>
          <w:tcPr>
            <w:tcW w:w="3369" w:type="dxa"/>
          </w:tcPr>
          <w:p w:rsidR="008E0E5D" w:rsidRDefault="00521D0C" w:rsidP="005B44C5">
            <w:pPr>
              <w:jc w:val="both"/>
            </w:pPr>
            <w:r>
              <w:t>Percentage of economically active residents in full-time employment</w:t>
            </w:r>
          </w:p>
        </w:tc>
        <w:tc>
          <w:tcPr>
            <w:tcW w:w="1984" w:type="dxa"/>
          </w:tcPr>
          <w:p w:rsidR="008E0E5D" w:rsidRDefault="005B59D2" w:rsidP="005B59D2">
            <w:pPr>
              <w:jc w:val="center"/>
            </w:pPr>
            <w:r>
              <w:t>50.6%</w:t>
            </w:r>
          </w:p>
        </w:tc>
        <w:tc>
          <w:tcPr>
            <w:tcW w:w="1985" w:type="dxa"/>
          </w:tcPr>
          <w:p w:rsidR="008E0E5D" w:rsidRDefault="005B59D2" w:rsidP="005B59D2">
            <w:pPr>
              <w:jc w:val="center"/>
            </w:pPr>
            <w:r>
              <w:t>55.6%</w:t>
            </w:r>
          </w:p>
        </w:tc>
        <w:tc>
          <w:tcPr>
            <w:tcW w:w="1904" w:type="dxa"/>
          </w:tcPr>
          <w:p w:rsidR="008E0E5D" w:rsidRDefault="005B59D2" w:rsidP="005B59D2">
            <w:pPr>
              <w:jc w:val="center"/>
            </w:pPr>
            <w:r>
              <w:t>59.7%</w:t>
            </w:r>
          </w:p>
        </w:tc>
      </w:tr>
      <w:tr w:rsidR="005B59D2" w:rsidTr="005B59D2">
        <w:trPr>
          <w:trHeight w:val="532"/>
        </w:trPr>
        <w:tc>
          <w:tcPr>
            <w:tcW w:w="3369" w:type="dxa"/>
          </w:tcPr>
          <w:p w:rsidR="005B59D2" w:rsidRDefault="005B59D2" w:rsidP="00DA5A8B">
            <w:pPr>
              <w:jc w:val="both"/>
            </w:pPr>
            <w:r>
              <w:t>Percentage of economically active residents in part-time employment</w:t>
            </w:r>
          </w:p>
        </w:tc>
        <w:tc>
          <w:tcPr>
            <w:tcW w:w="1984" w:type="dxa"/>
          </w:tcPr>
          <w:p w:rsidR="005B59D2" w:rsidRDefault="005B59D2" w:rsidP="005B59D2">
            <w:pPr>
              <w:jc w:val="center"/>
            </w:pPr>
            <w:r>
              <w:t>21.4%</w:t>
            </w:r>
          </w:p>
        </w:tc>
        <w:tc>
          <w:tcPr>
            <w:tcW w:w="1985" w:type="dxa"/>
          </w:tcPr>
          <w:p w:rsidR="005B59D2" w:rsidRDefault="005B59D2" w:rsidP="005B59D2">
            <w:pPr>
              <w:jc w:val="center"/>
            </w:pPr>
            <w:r>
              <w:t>20.8%</w:t>
            </w:r>
          </w:p>
        </w:tc>
        <w:tc>
          <w:tcPr>
            <w:tcW w:w="1904" w:type="dxa"/>
          </w:tcPr>
          <w:p w:rsidR="005B59D2" w:rsidRDefault="005B59D2" w:rsidP="005B59D2">
            <w:pPr>
              <w:jc w:val="center"/>
            </w:pPr>
            <w:r>
              <w:t>21.2%</w:t>
            </w:r>
          </w:p>
        </w:tc>
      </w:tr>
      <w:tr w:rsidR="005B59D2" w:rsidTr="005B59D2">
        <w:trPr>
          <w:trHeight w:val="558"/>
        </w:trPr>
        <w:tc>
          <w:tcPr>
            <w:tcW w:w="3369" w:type="dxa"/>
          </w:tcPr>
          <w:p w:rsidR="005B59D2" w:rsidRDefault="005B59D2" w:rsidP="005B59D2">
            <w:pPr>
              <w:jc w:val="both"/>
            </w:pPr>
            <w:r>
              <w:t>Percentage of economically active residents self-employed</w:t>
            </w:r>
          </w:p>
        </w:tc>
        <w:tc>
          <w:tcPr>
            <w:tcW w:w="1984" w:type="dxa"/>
          </w:tcPr>
          <w:p w:rsidR="005B59D2" w:rsidRDefault="005B59D2" w:rsidP="005B59D2">
            <w:pPr>
              <w:jc w:val="center"/>
            </w:pPr>
            <w:r>
              <w:t>24.3%</w:t>
            </w:r>
          </w:p>
        </w:tc>
        <w:tc>
          <w:tcPr>
            <w:tcW w:w="1985" w:type="dxa"/>
          </w:tcPr>
          <w:p w:rsidR="005B59D2" w:rsidRDefault="005B59D2" w:rsidP="005B59D2">
            <w:pPr>
              <w:jc w:val="center"/>
            </w:pPr>
            <w:r>
              <w:t>20.4%</w:t>
            </w:r>
          </w:p>
        </w:tc>
        <w:tc>
          <w:tcPr>
            <w:tcW w:w="1904" w:type="dxa"/>
          </w:tcPr>
          <w:p w:rsidR="005B59D2" w:rsidRDefault="005B59D2" w:rsidP="005B59D2">
            <w:pPr>
              <w:jc w:val="center"/>
            </w:pPr>
            <w:r>
              <w:t>15.1%</w:t>
            </w:r>
          </w:p>
        </w:tc>
      </w:tr>
      <w:tr w:rsidR="005B59D2" w:rsidTr="00CE5AE5">
        <w:trPr>
          <w:trHeight w:val="58"/>
        </w:trPr>
        <w:tc>
          <w:tcPr>
            <w:tcW w:w="3369" w:type="dxa"/>
          </w:tcPr>
          <w:p w:rsidR="005B59D2" w:rsidRDefault="005B59D2" w:rsidP="005B44C5">
            <w:pPr>
              <w:jc w:val="both"/>
            </w:pPr>
          </w:p>
        </w:tc>
        <w:tc>
          <w:tcPr>
            <w:tcW w:w="1984" w:type="dxa"/>
          </w:tcPr>
          <w:p w:rsidR="005B59D2" w:rsidRDefault="005B59D2" w:rsidP="005B59D2">
            <w:pPr>
              <w:jc w:val="center"/>
            </w:pPr>
          </w:p>
        </w:tc>
        <w:tc>
          <w:tcPr>
            <w:tcW w:w="1985" w:type="dxa"/>
          </w:tcPr>
          <w:p w:rsidR="005B59D2" w:rsidRDefault="005B59D2" w:rsidP="005B59D2">
            <w:pPr>
              <w:jc w:val="center"/>
            </w:pPr>
          </w:p>
        </w:tc>
        <w:tc>
          <w:tcPr>
            <w:tcW w:w="1904" w:type="dxa"/>
          </w:tcPr>
          <w:p w:rsidR="005B59D2" w:rsidRDefault="005B59D2" w:rsidP="005B59D2">
            <w:pPr>
              <w:jc w:val="center"/>
            </w:pPr>
          </w:p>
        </w:tc>
      </w:tr>
      <w:tr w:rsidR="005B59D2" w:rsidTr="00521D0C">
        <w:tc>
          <w:tcPr>
            <w:tcW w:w="3369" w:type="dxa"/>
          </w:tcPr>
          <w:p w:rsidR="005B59D2" w:rsidRDefault="00003641" w:rsidP="005B44C5">
            <w:pPr>
              <w:jc w:val="both"/>
            </w:pPr>
            <w:r>
              <w:t>Methods of travel to work:</w:t>
            </w:r>
          </w:p>
        </w:tc>
        <w:tc>
          <w:tcPr>
            <w:tcW w:w="1984" w:type="dxa"/>
          </w:tcPr>
          <w:p w:rsidR="005B59D2" w:rsidRDefault="005B59D2" w:rsidP="005B59D2">
            <w:pPr>
              <w:jc w:val="center"/>
            </w:pPr>
          </w:p>
        </w:tc>
        <w:tc>
          <w:tcPr>
            <w:tcW w:w="1985" w:type="dxa"/>
          </w:tcPr>
          <w:p w:rsidR="005B59D2" w:rsidRDefault="005B59D2" w:rsidP="005B59D2">
            <w:pPr>
              <w:jc w:val="center"/>
            </w:pPr>
          </w:p>
        </w:tc>
        <w:tc>
          <w:tcPr>
            <w:tcW w:w="1904" w:type="dxa"/>
          </w:tcPr>
          <w:p w:rsidR="005B59D2" w:rsidRDefault="005B59D2" w:rsidP="005B59D2">
            <w:pPr>
              <w:jc w:val="center"/>
            </w:pPr>
          </w:p>
        </w:tc>
      </w:tr>
      <w:tr w:rsidR="005B59D2" w:rsidTr="00521D0C">
        <w:tc>
          <w:tcPr>
            <w:tcW w:w="3369" w:type="dxa"/>
          </w:tcPr>
          <w:p w:rsidR="005B59D2" w:rsidRDefault="00003641" w:rsidP="005B44C5">
            <w:pPr>
              <w:jc w:val="both"/>
            </w:pPr>
            <w:r>
              <w:t>Driving a car or a van</w:t>
            </w:r>
          </w:p>
        </w:tc>
        <w:tc>
          <w:tcPr>
            <w:tcW w:w="1984" w:type="dxa"/>
          </w:tcPr>
          <w:p w:rsidR="005B59D2" w:rsidRDefault="00003641" w:rsidP="005B59D2">
            <w:pPr>
              <w:jc w:val="center"/>
            </w:pPr>
            <w:r>
              <w:t>67%</w:t>
            </w:r>
          </w:p>
        </w:tc>
        <w:tc>
          <w:tcPr>
            <w:tcW w:w="1985" w:type="dxa"/>
          </w:tcPr>
          <w:p w:rsidR="005B59D2" w:rsidRDefault="00003641" w:rsidP="005B59D2">
            <w:pPr>
              <w:jc w:val="center"/>
            </w:pPr>
            <w:r>
              <w:t>68%</w:t>
            </w:r>
          </w:p>
        </w:tc>
        <w:tc>
          <w:tcPr>
            <w:tcW w:w="1904" w:type="dxa"/>
          </w:tcPr>
          <w:p w:rsidR="005B59D2" w:rsidRDefault="00003641" w:rsidP="005B59D2">
            <w:pPr>
              <w:jc w:val="center"/>
            </w:pPr>
            <w:r>
              <w:t>57%</w:t>
            </w:r>
          </w:p>
        </w:tc>
      </w:tr>
      <w:tr w:rsidR="00003641" w:rsidTr="00521D0C">
        <w:tc>
          <w:tcPr>
            <w:tcW w:w="3369" w:type="dxa"/>
          </w:tcPr>
          <w:p w:rsidR="00003641" w:rsidRDefault="001B6078" w:rsidP="005B44C5">
            <w:pPr>
              <w:jc w:val="both"/>
            </w:pPr>
            <w:r>
              <w:t>Work mainly from home</w:t>
            </w:r>
          </w:p>
        </w:tc>
        <w:tc>
          <w:tcPr>
            <w:tcW w:w="1984" w:type="dxa"/>
          </w:tcPr>
          <w:p w:rsidR="00003641" w:rsidRDefault="001B6078" w:rsidP="005B59D2">
            <w:pPr>
              <w:jc w:val="center"/>
            </w:pPr>
            <w:r>
              <w:t>16</w:t>
            </w:r>
            <w:r w:rsidR="00003641">
              <w:t>%</w:t>
            </w:r>
          </w:p>
        </w:tc>
        <w:tc>
          <w:tcPr>
            <w:tcW w:w="1985" w:type="dxa"/>
          </w:tcPr>
          <w:p w:rsidR="00003641" w:rsidRDefault="00003641" w:rsidP="005B59D2">
            <w:pPr>
              <w:jc w:val="center"/>
            </w:pPr>
            <w:r>
              <w:t>10%</w:t>
            </w:r>
          </w:p>
        </w:tc>
        <w:tc>
          <w:tcPr>
            <w:tcW w:w="1904" w:type="dxa"/>
          </w:tcPr>
          <w:p w:rsidR="00003641" w:rsidRDefault="001B6078" w:rsidP="005B59D2">
            <w:pPr>
              <w:jc w:val="center"/>
            </w:pPr>
            <w:r>
              <w:t>5</w:t>
            </w:r>
            <w:r w:rsidR="00003641">
              <w:t>%</w:t>
            </w:r>
          </w:p>
        </w:tc>
      </w:tr>
      <w:tr w:rsidR="00003641" w:rsidTr="00521D0C">
        <w:tc>
          <w:tcPr>
            <w:tcW w:w="3369" w:type="dxa"/>
          </w:tcPr>
          <w:p w:rsidR="00003641" w:rsidRDefault="00003641" w:rsidP="00DA5A8B">
            <w:pPr>
              <w:jc w:val="both"/>
            </w:pPr>
            <w:r>
              <w:t>On foot</w:t>
            </w:r>
          </w:p>
        </w:tc>
        <w:tc>
          <w:tcPr>
            <w:tcW w:w="1984" w:type="dxa"/>
          </w:tcPr>
          <w:p w:rsidR="00003641" w:rsidRDefault="00003641" w:rsidP="00DA5A8B">
            <w:pPr>
              <w:jc w:val="center"/>
            </w:pPr>
            <w:r>
              <w:t>4%</w:t>
            </w:r>
          </w:p>
        </w:tc>
        <w:tc>
          <w:tcPr>
            <w:tcW w:w="1985" w:type="dxa"/>
          </w:tcPr>
          <w:p w:rsidR="00003641" w:rsidRDefault="00003641" w:rsidP="00DA5A8B">
            <w:pPr>
              <w:jc w:val="center"/>
            </w:pPr>
            <w:r>
              <w:t>10%</w:t>
            </w:r>
          </w:p>
        </w:tc>
        <w:tc>
          <w:tcPr>
            <w:tcW w:w="1904" w:type="dxa"/>
          </w:tcPr>
          <w:p w:rsidR="00003641" w:rsidRDefault="00003641" w:rsidP="00DA5A8B">
            <w:pPr>
              <w:jc w:val="center"/>
            </w:pPr>
            <w:r>
              <w:t>11%</w:t>
            </w:r>
          </w:p>
        </w:tc>
      </w:tr>
      <w:tr w:rsidR="00003641" w:rsidTr="00521D0C">
        <w:tc>
          <w:tcPr>
            <w:tcW w:w="3369" w:type="dxa"/>
          </w:tcPr>
          <w:p w:rsidR="00003641" w:rsidRDefault="001B6078" w:rsidP="005B44C5">
            <w:pPr>
              <w:jc w:val="both"/>
            </w:pPr>
            <w:r>
              <w:t>Train</w:t>
            </w:r>
          </w:p>
        </w:tc>
        <w:tc>
          <w:tcPr>
            <w:tcW w:w="1984" w:type="dxa"/>
          </w:tcPr>
          <w:p w:rsidR="00003641" w:rsidRDefault="001B6078" w:rsidP="005B59D2">
            <w:pPr>
              <w:jc w:val="center"/>
            </w:pPr>
            <w:r>
              <w:t>4%</w:t>
            </w:r>
          </w:p>
        </w:tc>
        <w:tc>
          <w:tcPr>
            <w:tcW w:w="1985" w:type="dxa"/>
          </w:tcPr>
          <w:p w:rsidR="00003641" w:rsidRDefault="001B6078" w:rsidP="005B59D2">
            <w:pPr>
              <w:jc w:val="center"/>
            </w:pPr>
            <w:r>
              <w:t>2%</w:t>
            </w:r>
          </w:p>
        </w:tc>
        <w:tc>
          <w:tcPr>
            <w:tcW w:w="1904" w:type="dxa"/>
          </w:tcPr>
          <w:p w:rsidR="00003641" w:rsidRDefault="001B6078" w:rsidP="005B59D2">
            <w:pPr>
              <w:jc w:val="center"/>
            </w:pPr>
            <w:r>
              <w:t>5%</w:t>
            </w:r>
          </w:p>
        </w:tc>
      </w:tr>
      <w:tr w:rsidR="00003641" w:rsidTr="00521D0C">
        <w:tc>
          <w:tcPr>
            <w:tcW w:w="3369" w:type="dxa"/>
          </w:tcPr>
          <w:p w:rsidR="00003641" w:rsidRDefault="001B6078" w:rsidP="005B44C5">
            <w:pPr>
              <w:jc w:val="both"/>
            </w:pPr>
            <w:r>
              <w:t>Bus or coach</w:t>
            </w:r>
          </w:p>
        </w:tc>
        <w:tc>
          <w:tcPr>
            <w:tcW w:w="1984" w:type="dxa"/>
          </w:tcPr>
          <w:p w:rsidR="00003641" w:rsidRDefault="001B6078" w:rsidP="005B59D2">
            <w:pPr>
              <w:jc w:val="center"/>
            </w:pPr>
            <w:r>
              <w:t>1%</w:t>
            </w:r>
          </w:p>
        </w:tc>
        <w:tc>
          <w:tcPr>
            <w:tcW w:w="1985" w:type="dxa"/>
          </w:tcPr>
          <w:p w:rsidR="00003641" w:rsidRDefault="001B6078" w:rsidP="005B59D2">
            <w:pPr>
              <w:jc w:val="center"/>
            </w:pPr>
            <w:r>
              <w:t>2%</w:t>
            </w:r>
          </w:p>
        </w:tc>
        <w:tc>
          <w:tcPr>
            <w:tcW w:w="1904" w:type="dxa"/>
          </w:tcPr>
          <w:p w:rsidR="00003641" w:rsidRDefault="001B6078" w:rsidP="005B59D2">
            <w:pPr>
              <w:jc w:val="center"/>
            </w:pPr>
            <w:r>
              <w:t>7%</w:t>
            </w:r>
          </w:p>
        </w:tc>
      </w:tr>
      <w:tr w:rsidR="005B59D2" w:rsidTr="00521D0C">
        <w:tc>
          <w:tcPr>
            <w:tcW w:w="3369" w:type="dxa"/>
          </w:tcPr>
          <w:p w:rsidR="005B59D2" w:rsidRDefault="001B6078" w:rsidP="005B44C5">
            <w:pPr>
              <w:jc w:val="both"/>
            </w:pPr>
            <w:r>
              <w:t>By bicycle</w:t>
            </w:r>
          </w:p>
        </w:tc>
        <w:tc>
          <w:tcPr>
            <w:tcW w:w="1984" w:type="dxa"/>
          </w:tcPr>
          <w:p w:rsidR="005B59D2" w:rsidRDefault="001B6078" w:rsidP="005B59D2">
            <w:pPr>
              <w:jc w:val="center"/>
            </w:pPr>
            <w:r>
              <w:t>2%</w:t>
            </w:r>
          </w:p>
        </w:tc>
        <w:tc>
          <w:tcPr>
            <w:tcW w:w="1985" w:type="dxa"/>
          </w:tcPr>
          <w:p w:rsidR="005B59D2" w:rsidRDefault="001B6078" w:rsidP="005B59D2">
            <w:pPr>
              <w:jc w:val="center"/>
            </w:pPr>
            <w:r>
              <w:t>2%</w:t>
            </w:r>
          </w:p>
        </w:tc>
        <w:tc>
          <w:tcPr>
            <w:tcW w:w="1904" w:type="dxa"/>
          </w:tcPr>
          <w:p w:rsidR="005B59D2" w:rsidRDefault="001B6078" w:rsidP="005B59D2">
            <w:pPr>
              <w:jc w:val="center"/>
            </w:pPr>
            <w:r>
              <w:t>3%</w:t>
            </w:r>
          </w:p>
        </w:tc>
      </w:tr>
    </w:tbl>
    <w:p w:rsidR="005B44C5" w:rsidRDefault="00D77FFE" w:rsidP="005B44C5">
      <w:pPr>
        <w:jc w:val="both"/>
      </w:pPr>
      <w:r>
        <w:t xml:space="preserve"> </w:t>
      </w:r>
      <w:r w:rsidR="005B68A0">
        <w:t xml:space="preserve"> </w:t>
      </w:r>
    </w:p>
    <w:p w:rsidR="00003641" w:rsidRDefault="00003641" w:rsidP="005B44C5">
      <w:r>
        <w:t>Clearly Wilmcote has a higher percentage of self-employed than either the rest of Stratford District or England as a whole, and this explains the high numbers working from home.  Other methods of travel to work reflect the relatively good train service to a station in the village, and the relatively poor bus service serving the neighbourhood.</w:t>
      </w:r>
    </w:p>
    <w:p w:rsidR="005B44C5" w:rsidRPr="005B44C5" w:rsidRDefault="00D94D87" w:rsidP="005B44C5">
      <w:r>
        <w:rPr>
          <w:noProof/>
          <w:lang w:eastAsia="en-GB"/>
        </w:rPr>
        <w:pict>
          <v:shapetype id="_x0000_t202" coordsize="21600,21600" o:spt="202" path="m,l,21600r21600,l21600,xe">
            <v:stroke joinstyle="miter"/>
            <v:path gradientshapeok="t" o:connecttype="rect"/>
          </v:shapetype>
          <v:shape id="_x0000_s1026" type="#_x0000_t202" style="position:absolute;margin-left:331.2pt;margin-top:317.3pt;width:139.8pt;height:35.4pt;z-index:251658240">
            <v:textbox>
              <w:txbxContent>
                <w:p w:rsidR="00D94D87" w:rsidRDefault="00D94D87">
                  <w:r>
                    <w:t>John S</w:t>
                  </w:r>
                  <w:bookmarkStart w:id="0" w:name="_GoBack"/>
                  <w:bookmarkEnd w:id="0"/>
                  <w:r>
                    <w:t>ingleton March 2014</w:t>
                  </w:r>
                </w:p>
              </w:txbxContent>
            </v:textbox>
          </v:shape>
        </w:pict>
      </w:r>
      <w:r w:rsidR="008E0E5D">
        <w:t xml:space="preserve">Whilst we have no figures for </w:t>
      </w:r>
      <w:r w:rsidR="00D71570">
        <w:t xml:space="preserve">where Wilmcote residents work, we see no reason that commuting patterns should vary significantly from those in the wider Stratford District </w:t>
      </w:r>
      <w:r w:rsidR="00521D0C">
        <w:t>–</w:t>
      </w:r>
      <w:r w:rsidR="00D71570">
        <w:t xml:space="preserve"> </w:t>
      </w:r>
      <w:r w:rsidR="00521D0C">
        <w:t>the 2009 Stratford District review stated that 6000 people commuted daily from Stratford District to Warwick District and half that number in the opposite direction.</w:t>
      </w:r>
    </w:p>
    <w:sectPr w:rsidR="005B44C5" w:rsidRPr="005B44C5" w:rsidSect="00867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0F1C8B"/>
    <w:rsid w:val="00003641"/>
    <w:rsid w:val="000D4523"/>
    <w:rsid w:val="000E5663"/>
    <w:rsid w:val="000F1C8B"/>
    <w:rsid w:val="00137E99"/>
    <w:rsid w:val="001B6078"/>
    <w:rsid w:val="001B69EC"/>
    <w:rsid w:val="001E1083"/>
    <w:rsid w:val="00201D25"/>
    <w:rsid w:val="00204685"/>
    <w:rsid w:val="00264234"/>
    <w:rsid w:val="00295B2B"/>
    <w:rsid w:val="00296A39"/>
    <w:rsid w:val="002A35A9"/>
    <w:rsid w:val="002B1D32"/>
    <w:rsid w:val="002E3D6A"/>
    <w:rsid w:val="002E473C"/>
    <w:rsid w:val="00306482"/>
    <w:rsid w:val="004417CD"/>
    <w:rsid w:val="00521D0C"/>
    <w:rsid w:val="005B44C5"/>
    <w:rsid w:val="005B59D2"/>
    <w:rsid w:val="005B68A0"/>
    <w:rsid w:val="00613D2E"/>
    <w:rsid w:val="008309E3"/>
    <w:rsid w:val="0086763B"/>
    <w:rsid w:val="00897C57"/>
    <w:rsid w:val="008A1236"/>
    <w:rsid w:val="008E0E5D"/>
    <w:rsid w:val="008F2E18"/>
    <w:rsid w:val="009150AC"/>
    <w:rsid w:val="009261E4"/>
    <w:rsid w:val="00946ABA"/>
    <w:rsid w:val="00974FD6"/>
    <w:rsid w:val="0097729F"/>
    <w:rsid w:val="009E2F20"/>
    <w:rsid w:val="00A4382E"/>
    <w:rsid w:val="00AC6F07"/>
    <w:rsid w:val="00B55869"/>
    <w:rsid w:val="00BF6F57"/>
    <w:rsid w:val="00C65ED4"/>
    <w:rsid w:val="00CB7AA6"/>
    <w:rsid w:val="00CE5AE5"/>
    <w:rsid w:val="00D61B02"/>
    <w:rsid w:val="00D71570"/>
    <w:rsid w:val="00D77FFE"/>
    <w:rsid w:val="00D94D87"/>
    <w:rsid w:val="00D96A55"/>
    <w:rsid w:val="00DE007A"/>
    <w:rsid w:val="00E2353D"/>
    <w:rsid w:val="00ED07A0"/>
    <w:rsid w:val="00F553A6"/>
    <w:rsid w:val="00F87986"/>
    <w:rsid w:val="00FF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3B"/>
  </w:style>
  <w:style w:type="paragraph" w:styleId="Heading1">
    <w:name w:val="heading 1"/>
    <w:basedOn w:val="Normal"/>
    <w:next w:val="Normal"/>
    <w:link w:val="Heading1Char"/>
    <w:uiPriority w:val="9"/>
    <w:qFormat/>
    <w:rsid w:val="000F1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8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3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Pam</cp:lastModifiedBy>
  <cp:revision>3</cp:revision>
  <dcterms:created xsi:type="dcterms:W3CDTF">2014-04-14T15:27:00Z</dcterms:created>
  <dcterms:modified xsi:type="dcterms:W3CDTF">2014-04-18T17:52:00Z</dcterms:modified>
</cp:coreProperties>
</file>