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9F" w:rsidRPr="003859FE" w:rsidRDefault="00C21F6A">
      <w:pPr>
        <w:rPr>
          <w:color w:val="FF0000"/>
          <w:sz w:val="32"/>
          <w:szCs w:val="32"/>
        </w:rPr>
      </w:pPr>
      <w:bookmarkStart w:id="0" w:name="_GoBack"/>
      <w:bookmarkEnd w:id="0"/>
      <w:r w:rsidRPr="003859FE">
        <w:rPr>
          <w:b/>
          <w:sz w:val="36"/>
          <w:szCs w:val="36"/>
        </w:rPr>
        <w:t xml:space="preserve">Sector </w:t>
      </w:r>
      <w:r w:rsidR="00A36C11" w:rsidRPr="003859FE">
        <w:rPr>
          <w:b/>
          <w:sz w:val="36"/>
          <w:szCs w:val="36"/>
        </w:rPr>
        <w:t xml:space="preserve">Research </w:t>
      </w:r>
      <w:r w:rsidRPr="003859FE">
        <w:rPr>
          <w:b/>
          <w:sz w:val="36"/>
          <w:szCs w:val="36"/>
        </w:rPr>
        <w:t>Report</w:t>
      </w:r>
      <w:r w:rsidRPr="003859FE">
        <w:rPr>
          <w:b/>
          <w:sz w:val="32"/>
          <w:szCs w:val="32"/>
        </w:rPr>
        <w:t xml:space="preserve"> </w:t>
      </w:r>
      <w:r w:rsidRPr="003859FE">
        <w:rPr>
          <w:b/>
          <w:sz w:val="32"/>
          <w:szCs w:val="32"/>
        </w:rPr>
        <w:tab/>
      </w:r>
      <w:r>
        <w:rPr>
          <w:sz w:val="32"/>
          <w:szCs w:val="32"/>
        </w:rPr>
        <w:tab/>
      </w:r>
      <w:r>
        <w:rPr>
          <w:sz w:val="32"/>
          <w:szCs w:val="32"/>
        </w:rPr>
        <w:tab/>
      </w:r>
      <w:r>
        <w:rPr>
          <w:sz w:val="32"/>
          <w:szCs w:val="32"/>
        </w:rPr>
        <w:tab/>
      </w:r>
      <w:r>
        <w:rPr>
          <w:sz w:val="32"/>
          <w:szCs w:val="32"/>
        </w:rPr>
        <w:tab/>
      </w:r>
      <w:r>
        <w:rPr>
          <w:sz w:val="32"/>
          <w:szCs w:val="32"/>
        </w:rPr>
        <w:tab/>
      </w:r>
      <w:r w:rsidRPr="003859FE">
        <w:rPr>
          <w:color w:val="FF0000"/>
          <w:sz w:val="32"/>
          <w:szCs w:val="32"/>
        </w:rPr>
        <w:t>4</w:t>
      </w:r>
      <w:r w:rsidRPr="003859FE">
        <w:rPr>
          <w:color w:val="FF0000"/>
          <w:sz w:val="32"/>
          <w:szCs w:val="32"/>
          <w:vertAlign w:val="superscript"/>
        </w:rPr>
        <w:t>th</w:t>
      </w:r>
      <w:r w:rsidRPr="003859FE">
        <w:rPr>
          <w:color w:val="FF0000"/>
          <w:sz w:val="32"/>
          <w:szCs w:val="32"/>
        </w:rPr>
        <w:t xml:space="preserve"> June 2014</w:t>
      </w:r>
    </w:p>
    <w:p w:rsidR="00C21F6A" w:rsidRDefault="00C21F6A">
      <w:pPr>
        <w:rPr>
          <w:sz w:val="32"/>
          <w:szCs w:val="32"/>
        </w:rPr>
      </w:pPr>
    </w:p>
    <w:p w:rsidR="00C21F6A" w:rsidRPr="00454D66" w:rsidRDefault="00C21F6A">
      <w:pPr>
        <w:rPr>
          <w:sz w:val="32"/>
          <w:szCs w:val="32"/>
        </w:rPr>
      </w:pPr>
      <w:r w:rsidRPr="00454D66">
        <w:rPr>
          <w:sz w:val="32"/>
          <w:szCs w:val="32"/>
        </w:rPr>
        <w:t xml:space="preserve">Sector – </w:t>
      </w:r>
      <w:r w:rsidR="00454D66" w:rsidRPr="00454D66">
        <w:rPr>
          <w:sz w:val="32"/>
          <w:szCs w:val="32"/>
        </w:rPr>
        <w:t>Private Housing</w:t>
      </w:r>
      <w:r w:rsidR="00454D66">
        <w:rPr>
          <w:sz w:val="32"/>
          <w:szCs w:val="32"/>
        </w:rPr>
        <w:tab/>
      </w:r>
      <w:r w:rsidR="00454D66">
        <w:rPr>
          <w:sz w:val="32"/>
          <w:szCs w:val="32"/>
        </w:rPr>
        <w:tab/>
      </w:r>
      <w:r w:rsidR="00454D66">
        <w:rPr>
          <w:sz w:val="32"/>
          <w:szCs w:val="32"/>
        </w:rPr>
        <w:tab/>
      </w:r>
      <w:r w:rsidR="00454D66">
        <w:rPr>
          <w:sz w:val="32"/>
          <w:szCs w:val="32"/>
        </w:rPr>
        <w:tab/>
        <w:t>Leader</w:t>
      </w:r>
      <w:proofErr w:type="gramStart"/>
      <w:r w:rsidR="00454D66">
        <w:rPr>
          <w:sz w:val="32"/>
          <w:szCs w:val="32"/>
        </w:rPr>
        <w:t>-  John</w:t>
      </w:r>
      <w:proofErr w:type="gramEnd"/>
      <w:r w:rsidR="00454D66">
        <w:rPr>
          <w:sz w:val="32"/>
          <w:szCs w:val="32"/>
        </w:rPr>
        <w:t xml:space="preserve"> Singleton</w:t>
      </w:r>
    </w:p>
    <w:p w:rsidR="00C21F6A" w:rsidRPr="00454D66" w:rsidRDefault="00C21F6A" w:rsidP="00C21F6A">
      <w:pPr>
        <w:pStyle w:val="ListParagraph"/>
        <w:numPr>
          <w:ilvl w:val="0"/>
          <w:numId w:val="1"/>
        </w:numPr>
        <w:rPr>
          <w:sz w:val="32"/>
          <w:szCs w:val="32"/>
        </w:rPr>
      </w:pPr>
      <w:r w:rsidRPr="00454D66">
        <w:rPr>
          <w:sz w:val="32"/>
          <w:szCs w:val="32"/>
        </w:rPr>
        <w:t>Description of Sector-</w:t>
      </w:r>
      <w:r w:rsidRPr="00454D66">
        <w:rPr>
          <w:sz w:val="32"/>
          <w:szCs w:val="32"/>
        </w:rPr>
        <w:tab/>
      </w:r>
    </w:p>
    <w:p w:rsidR="00C21F6A" w:rsidRPr="00B04FD3" w:rsidRDefault="00E11196" w:rsidP="00525E27">
      <w:pPr>
        <w:pStyle w:val="ListParagraph"/>
        <w:ind w:left="1418"/>
        <w:rPr>
          <w:sz w:val="32"/>
          <w:szCs w:val="32"/>
        </w:rPr>
      </w:pPr>
      <w:r w:rsidRPr="00B04FD3">
        <w:rPr>
          <w:sz w:val="32"/>
          <w:szCs w:val="32"/>
        </w:rPr>
        <w:t>Features and analysis of t</w:t>
      </w:r>
      <w:r w:rsidR="002D755A" w:rsidRPr="00B04FD3">
        <w:rPr>
          <w:sz w:val="32"/>
          <w:szCs w:val="32"/>
        </w:rPr>
        <w:t xml:space="preserve">he current </w:t>
      </w:r>
      <w:r w:rsidR="002C1542" w:rsidRPr="00B04FD3">
        <w:rPr>
          <w:sz w:val="32"/>
          <w:szCs w:val="32"/>
        </w:rPr>
        <w:t xml:space="preserve">private </w:t>
      </w:r>
      <w:r w:rsidRPr="00B04FD3">
        <w:rPr>
          <w:sz w:val="32"/>
          <w:szCs w:val="32"/>
        </w:rPr>
        <w:t>dwellings stock in the parish, its historical rate of growth, current demand and projected possible growth</w:t>
      </w:r>
      <w:r w:rsidR="00B04FD3" w:rsidRPr="00B04FD3">
        <w:rPr>
          <w:sz w:val="32"/>
          <w:szCs w:val="32"/>
        </w:rPr>
        <w:t>.</w:t>
      </w:r>
      <w:r w:rsidR="00C21F6A" w:rsidRPr="00B04FD3">
        <w:rPr>
          <w:sz w:val="32"/>
          <w:szCs w:val="32"/>
        </w:rPr>
        <w:t xml:space="preserve"> </w:t>
      </w:r>
    </w:p>
    <w:p w:rsidR="00C21F6A" w:rsidRPr="00454D66" w:rsidRDefault="00C21F6A" w:rsidP="00C21F6A">
      <w:pPr>
        <w:pStyle w:val="ListParagraph"/>
        <w:numPr>
          <w:ilvl w:val="0"/>
          <w:numId w:val="1"/>
        </w:numPr>
        <w:rPr>
          <w:sz w:val="32"/>
          <w:szCs w:val="32"/>
        </w:rPr>
      </w:pPr>
      <w:r w:rsidRPr="00B04FD3">
        <w:rPr>
          <w:sz w:val="32"/>
          <w:szCs w:val="32"/>
        </w:rPr>
        <w:t>List of Items Covered-</w:t>
      </w:r>
    </w:p>
    <w:p w:rsidR="00D2185B" w:rsidRDefault="002C1542" w:rsidP="00B04FD3">
      <w:pPr>
        <w:pStyle w:val="ListParagraph"/>
        <w:ind w:left="1440"/>
        <w:rPr>
          <w:sz w:val="32"/>
          <w:szCs w:val="32"/>
        </w:rPr>
      </w:pPr>
      <w:proofErr w:type="gramStart"/>
      <w:r>
        <w:rPr>
          <w:sz w:val="32"/>
          <w:szCs w:val="32"/>
        </w:rPr>
        <w:t>Analysis of current dwelling stock data</w:t>
      </w:r>
      <w:r w:rsidR="00D2185B">
        <w:rPr>
          <w:sz w:val="32"/>
          <w:szCs w:val="32"/>
        </w:rPr>
        <w:t xml:space="preserve"> for the parish,</w:t>
      </w:r>
      <w:r>
        <w:rPr>
          <w:sz w:val="32"/>
          <w:szCs w:val="32"/>
        </w:rPr>
        <w:t xml:space="preserve"> available from the 2011 census</w:t>
      </w:r>
      <w:r w:rsidR="006D65AA">
        <w:rPr>
          <w:sz w:val="32"/>
          <w:szCs w:val="32"/>
        </w:rPr>
        <w:t xml:space="preserve"> neighbourhood statistics</w:t>
      </w:r>
      <w:r w:rsidR="00D2185B">
        <w:rPr>
          <w:sz w:val="32"/>
          <w:szCs w:val="32"/>
        </w:rPr>
        <w:t>.</w:t>
      </w:r>
      <w:proofErr w:type="gramEnd"/>
      <w:r w:rsidR="00D2185B">
        <w:rPr>
          <w:sz w:val="32"/>
          <w:szCs w:val="32"/>
        </w:rPr>
        <w:t xml:space="preserve">  </w:t>
      </w:r>
    </w:p>
    <w:p w:rsidR="00D2185B" w:rsidRDefault="00D2185B" w:rsidP="00D2185B">
      <w:pPr>
        <w:pStyle w:val="ListParagraph"/>
        <w:ind w:left="1440"/>
        <w:rPr>
          <w:sz w:val="32"/>
          <w:szCs w:val="32"/>
        </w:rPr>
      </w:pPr>
      <w:proofErr w:type="gramStart"/>
      <w:r>
        <w:rPr>
          <w:sz w:val="32"/>
          <w:szCs w:val="32"/>
        </w:rPr>
        <w:t>Analysis of resident data for the parish, available from the 2011 census</w:t>
      </w:r>
      <w:r w:rsidR="006D65AA">
        <w:rPr>
          <w:sz w:val="32"/>
          <w:szCs w:val="32"/>
        </w:rPr>
        <w:t xml:space="preserve"> neighbourhood statistics</w:t>
      </w:r>
      <w:r>
        <w:rPr>
          <w:sz w:val="32"/>
          <w:szCs w:val="32"/>
        </w:rPr>
        <w:t>.</w:t>
      </w:r>
      <w:proofErr w:type="gramEnd"/>
    </w:p>
    <w:p w:rsidR="00D2185B" w:rsidRDefault="00D2185B" w:rsidP="00D2185B">
      <w:pPr>
        <w:pStyle w:val="ListParagraph"/>
        <w:ind w:left="1440"/>
        <w:rPr>
          <w:sz w:val="32"/>
          <w:szCs w:val="32"/>
        </w:rPr>
      </w:pPr>
      <w:proofErr w:type="gramStart"/>
      <w:r>
        <w:rPr>
          <w:sz w:val="32"/>
          <w:szCs w:val="32"/>
        </w:rPr>
        <w:t>Analysis of council tax data held by the district council.</w:t>
      </w:r>
      <w:proofErr w:type="gramEnd"/>
    </w:p>
    <w:p w:rsidR="006D65AA" w:rsidRDefault="004D0BAC" w:rsidP="00D2185B">
      <w:pPr>
        <w:pStyle w:val="ListParagraph"/>
        <w:ind w:left="1440"/>
        <w:rPr>
          <w:sz w:val="32"/>
          <w:szCs w:val="32"/>
        </w:rPr>
      </w:pPr>
      <w:proofErr w:type="gramStart"/>
      <w:r>
        <w:rPr>
          <w:sz w:val="32"/>
          <w:szCs w:val="32"/>
        </w:rPr>
        <w:t>Analysis of the planning approval data available on the district council website.</w:t>
      </w:r>
      <w:proofErr w:type="gramEnd"/>
    </w:p>
    <w:p w:rsidR="00525E27" w:rsidRDefault="00525E27" w:rsidP="00D2185B">
      <w:pPr>
        <w:pStyle w:val="ListParagraph"/>
        <w:ind w:left="1440"/>
        <w:rPr>
          <w:sz w:val="32"/>
          <w:szCs w:val="32"/>
        </w:rPr>
      </w:pPr>
      <w:proofErr w:type="gramStart"/>
      <w:r>
        <w:rPr>
          <w:sz w:val="32"/>
          <w:szCs w:val="32"/>
        </w:rPr>
        <w:t>Existence of demand for additional housing in the parish.</w:t>
      </w:r>
      <w:proofErr w:type="gramEnd"/>
    </w:p>
    <w:p w:rsidR="004D0BAC" w:rsidRDefault="004D0BAC" w:rsidP="00D2185B">
      <w:pPr>
        <w:pStyle w:val="ListParagraph"/>
        <w:ind w:left="1440"/>
        <w:rPr>
          <w:sz w:val="32"/>
          <w:szCs w:val="32"/>
        </w:rPr>
      </w:pPr>
    </w:p>
    <w:p w:rsidR="00C21F6A" w:rsidRPr="00454D66" w:rsidRDefault="00C21F6A" w:rsidP="00C21F6A">
      <w:pPr>
        <w:pStyle w:val="ListParagraph"/>
        <w:numPr>
          <w:ilvl w:val="0"/>
          <w:numId w:val="1"/>
        </w:numPr>
        <w:rPr>
          <w:sz w:val="32"/>
          <w:szCs w:val="32"/>
        </w:rPr>
      </w:pPr>
      <w:r w:rsidRPr="00454D66">
        <w:rPr>
          <w:sz w:val="32"/>
          <w:szCs w:val="32"/>
        </w:rPr>
        <w:t>Research Data Collection-</w:t>
      </w:r>
    </w:p>
    <w:p w:rsidR="00C21F6A" w:rsidRDefault="00C21F6A" w:rsidP="00C21F6A">
      <w:pPr>
        <w:pStyle w:val="ListParagraph"/>
        <w:numPr>
          <w:ilvl w:val="1"/>
          <w:numId w:val="1"/>
        </w:numPr>
        <w:rPr>
          <w:sz w:val="32"/>
          <w:szCs w:val="32"/>
        </w:rPr>
      </w:pPr>
      <w:r w:rsidRPr="00454D66">
        <w:rPr>
          <w:sz w:val="32"/>
          <w:szCs w:val="32"/>
        </w:rPr>
        <w:t>List of all parties contacted</w:t>
      </w:r>
      <w:r w:rsidR="00686FC8" w:rsidRPr="00454D66">
        <w:rPr>
          <w:sz w:val="32"/>
          <w:szCs w:val="32"/>
        </w:rPr>
        <w:t>.- Names and addresses</w:t>
      </w:r>
    </w:p>
    <w:p w:rsidR="00D9318E" w:rsidRPr="00454D66" w:rsidRDefault="00D9318E" w:rsidP="00D9318E">
      <w:pPr>
        <w:pStyle w:val="ListParagraph"/>
        <w:ind w:left="1440"/>
        <w:rPr>
          <w:sz w:val="32"/>
          <w:szCs w:val="32"/>
        </w:rPr>
      </w:pPr>
      <w:r>
        <w:rPr>
          <w:sz w:val="32"/>
          <w:szCs w:val="32"/>
        </w:rPr>
        <w:t>Steve Bosworth Stratford District Council</w:t>
      </w:r>
    </w:p>
    <w:p w:rsidR="00C21F6A" w:rsidRDefault="003859FE" w:rsidP="00C21F6A">
      <w:pPr>
        <w:pStyle w:val="ListParagraph"/>
        <w:numPr>
          <w:ilvl w:val="1"/>
          <w:numId w:val="1"/>
        </w:numPr>
        <w:rPr>
          <w:sz w:val="32"/>
          <w:szCs w:val="32"/>
        </w:rPr>
      </w:pPr>
      <w:r w:rsidRPr="00454D66">
        <w:rPr>
          <w:sz w:val="32"/>
          <w:szCs w:val="32"/>
        </w:rPr>
        <w:t>Publications Reviewed</w:t>
      </w:r>
      <w:r w:rsidR="00686FC8" w:rsidRPr="00454D66">
        <w:rPr>
          <w:sz w:val="32"/>
          <w:szCs w:val="32"/>
        </w:rPr>
        <w:t>.-</w:t>
      </w:r>
      <w:r w:rsidR="00686FC8" w:rsidRPr="00454D66">
        <w:rPr>
          <w:sz w:val="32"/>
          <w:szCs w:val="32"/>
        </w:rPr>
        <w:tab/>
        <w:t>List of publications</w:t>
      </w:r>
    </w:p>
    <w:p w:rsidR="00D9318E" w:rsidRDefault="00D9318E" w:rsidP="00D9318E">
      <w:pPr>
        <w:pStyle w:val="ListParagraph"/>
        <w:ind w:left="1440"/>
        <w:rPr>
          <w:sz w:val="32"/>
          <w:szCs w:val="32"/>
        </w:rPr>
      </w:pPr>
      <w:r>
        <w:rPr>
          <w:sz w:val="32"/>
          <w:szCs w:val="32"/>
        </w:rPr>
        <w:t>Warwickshire Observatory website</w:t>
      </w:r>
    </w:p>
    <w:p w:rsidR="00D9318E" w:rsidRDefault="00D9318E" w:rsidP="00D9318E">
      <w:pPr>
        <w:pStyle w:val="ListParagraph"/>
        <w:ind w:left="1440"/>
        <w:rPr>
          <w:sz w:val="32"/>
          <w:szCs w:val="32"/>
        </w:rPr>
      </w:pPr>
      <w:r>
        <w:rPr>
          <w:sz w:val="32"/>
          <w:szCs w:val="32"/>
        </w:rPr>
        <w:t>ONS census 2011 website</w:t>
      </w:r>
    </w:p>
    <w:p w:rsidR="00D9318E" w:rsidRDefault="00D9318E" w:rsidP="00D9318E">
      <w:pPr>
        <w:pStyle w:val="ListParagraph"/>
        <w:ind w:left="1440"/>
        <w:rPr>
          <w:sz w:val="32"/>
          <w:szCs w:val="32"/>
        </w:rPr>
      </w:pPr>
      <w:r>
        <w:rPr>
          <w:sz w:val="32"/>
          <w:szCs w:val="32"/>
        </w:rPr>
        <w:t>ONS Neighbourhood Statistics website</w:t>
      </w:r>
    </w:p>
    <w:p w:rsidR="00D9318E" w:rsidRDefault="00D9318E" w:rsidP="00D9318E">
      <w:pPr>
        <w:pStyle w:val="ListParagraph"/>
        <w:ind w:left="1440"/>
        <w:rPr>
          <w:sz w:val="32"/>
          <w:szCs w:val="32"/>
        </w:rPr>
      </w:pPr>
      <w:r>
        <w:rPr>
          <w:sz w:val="32"/>
          <w:szCs w:val="32"/>
        </w:rPr>
        <w:t>English Heritage website</w:t>
      </w:r>
    </w:p>
    <w:p w:rsidR="009356EA" w:rsidRDefault="009356EA" w:rsidP="00D9318E">
      <w:pPr>
        <w:pStyle w:val="ListParagraph"/>
        <w:ind w:left="1440"/>
        <w:rPr>
          <w:sz w:val="32"/>
          <w:szCs w:val="32"/>
        </w:rPr>
      </w:pPr>
      <w:r>
        <w:rPr>
          <w:sz w:val="32"/>
          <w:szCs w:val="32"/>
        </w:rPr>
        <w:t>Wikipedia website (entries for Wilmcote amongst others)</w:t>
      </w:r>
    </w:p>
    <w:p w:rsidR="00B85709" w:rsidRPr="00454D66" w:rsidRDefault="00B85709" w:rsidP="00D9318E">
      <w:pPr>
        <w:pStyle w:val="ListParagraph"/>
        <w:ind w:left="1440"/>
        <w:rPr>
          <w:sz w:val="32"/>
          <w:szCs w:val="32"/>
        </w:rPr>
      </w:pPr>
      <w:r>
        <w:rPr>
          <w:sz w:val="32"/>
          <w:szCs w:val="32"/>
        </w:rPr>
        <w:t>Stratford upon Avon District Review 2009</w:t>
      </w:r>
    </w:p>
    <w:p w:rsidR="00686FC8" w:rsidRDefault="00686FC8" w:rsidP="00C21F6A">
      <w:pPr>
        <w:pStyle w:val="ListParagraph"/>
        <w:numPr>
          <w:ilvl w:val="1"/>
          <w:numId w:val="1"/>
        </w:numPr>
        <w:rPr>
          <w:sz w:val="32"/>
          <w:szCs w:val="32"/>
        </w:rPr>
      </w:pPr>
      <w:r w:rsidRPr="00454D66">
        <w:rPr>
          <w:sz w:val="32"/>
          <w:szCs w:val="32"/>
        </w:rPr>
        <w:t>Copies of Correspondence-</w:t>
      </w:r>
      <w:r w:rsidRPr="00454D66">
        <w:rPr>
          <w:sz w:val="32"/>
          <w:szCs w:val="32"/>
        </w:rPr>
        <w:tab/>
        <w:t>Letters and email</w:t>
      </w:r>
    </w:p>
    <w:p w:rsidR="0053462E" w:rsidRDefault="0053462E" w:rsidP="0053462E">
      <w:pPr>
        <w:rPr>
          <w:rFonts w:ascii="Calibri" w:hAnsi="Calibri"/>
          <w:color w:val="1F497D"/>
        </w:rPr>
      </w:pPr>
      <w:r>
        <w:rPr>
          <w:rFonts w:ascii="Calibri" w:hAnsi="Calibri"/>
          <w:color w:val="1F497D"/>
        </w:rPr>
        <w:t>Hi Steve</w:t>
      </w:r>
    </w:p>
    <w:p w:rsidR="0053462E" w:rsidRDefault="0053462E" w:rsidP="0053462E">
      <w:pPr>
        <w:rPr>
          <w:rFonts w:ascii="Calibri" w:hAnsi="Calibri"/>
          <w:color w:val="1F497D"/>
        </w:rPr>
      </w:pPr>
    </w:p>
    <w:p w:rsidR="0053462E" w:rsidRDefault="0053462E" w:rsidP="0053462E">
      <w:pPr>
        <w:rPr>
          <w:rFonts w:ascii="Calibri" w:hAnsi="Calibri"/>
          <w:color w:val="1F497D"/>
        </w:rPr>
      </w:pPr>
      <w:r>
        <w:rPr>
          <w:rFonts w:ascii="Calibri" w:hAnsi="Calibri"/>
          <w:color w:val="1F497D"/>
        </w:rPr>
        <w:t>What a fantastic response, you have provided me with everything I asked for (when I thought it might not be possible) in the fastest possible time; thank you very much.</w:t>
      </w:r>
    </w:p>
    <w:p w:rsidR="0053462E" w:rsidRDefault="0053462E" w:rsidP="0053462E">
      <w:pPr>
        <w:rPr>
          <w:rFonts w:ascii="Calibri" w:hAnsi="Calibri"/>
          <w:color w:val="1F497D"/>
        </w:rPr>
      </w:pPr>
    </w:p>
    <w:p w:rsidR="0053462E" w:rsidRDefault="0053462E" w:rsidP="0053462E">
      <w:pPr>
        <w:rPr>
          <w:rFonts w:ascii="Calibri" w:hAnsi="Calibri"/>
          <w:color w:val="1F497D"/>
        </w:rPr>
      </w:pPr>
      <w:r>
        <w:rPr>
          <w:rFonts w:ascii="Calibri" w:hAnsi="Calibri"/>
          <w:color w:val="1F497D"/>
        </w:rPr>
        <w:t>With best wishes,</w:t>
      </w:r>
    </w:p>
    <w:p w:rsidR="0053462E" w:rsidRDefault="0053462E" w:rsidP="0053462E">
      <w:pPr>
        <w:rPr>
          <w:rFonts w:ascii="Calibri" w:hAnsi="Calibri"/>
          <w:color w:val="1F497D"/>
        </w:rPr>
      </w:pPr>
    </w:p>
    <w:p w:rsidR="0053462E" w:rsidRDefault="0053462E" w:rsidP="0053462E">
      <w:pPr>
        <w:rPr>
          <w:rFonts w:ascii="Calibri" w:hAnsi="Calibri"/>
          <w:color w:val="1F497D"/>
        </w:rPr>
      </w:pPr>
      <w:r>
        <w:rPr>
          <w:rFonts w:ascii="Calibri" w:hAnsi="Calibri"/>
          <w:color w:val="1F497D"/>
        </w:rPr>
        <w:t>John</w:t>
      </w:r>
    </w:p>
    <w:p w:rsidR="0053462E" w:rsidRDefault="0053462E" w:rsidP="0053462E">
      <w:pPr>
        <w:rPr>
          <w:rFonts w:ascii="Calibri" w:hAnsi="Calibri"/>
          <w:color w:val="1F497D"/>
        </w:rPr>
      </w:pPr>
    </w:p>
    <w:p w:rsidR="0053462E" w:rsidRDefault="0053462E" w:rsidP="0053462E">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Steve Bosworth [</w:t>
      </w:r>
      <w:hyperlink r:id="rId6" w:history="1">
        <w:r>
          <w:rPr>
            <w:rStyle w:val="Hyperlink"/>
            <w:rFonts w:ascii="Tahoma" w:hAnsi="Tahoma" w:cs="Tahoma"/>
            <w:sz w:val="20"/>
            <w:szCs w:val="20"/>
            <w:lang w:val="en-US"/>
          </w:rPr>
          <w:t>mailto:Steve.Bosworth@stratford-dc.gov.uk</w:t>
        </w:r>
      </w:hyperlink>
      <w:r>
        <w:rPr>
          <w:rFonts w:ascii="Tahoma" w:hAnsi="Tahoma" w:cs="Tahoma"/>
          <w:sz w:val="20"/>
          <w:szCs w:val="20"/>
          <w:lang w:val="en-US"/>
        </w:rPr>
        <w:t xml:space="preserve">]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09 April 2014 13:14</w:t>
      </w:r>
      <w:r>
        <w:rPr>
          <w:rFonts w:ascii="Tahoma" w:hAnsi="Tahoma" w:cs="Tahoma"/>
          <w:sz w:val="20"/>
          <w:szCs w:val="20"/>
          <w:lang w:val="en-US"/>
        </w:rPr>
        <w:br/>
      </w:r>
      <w:proofErr w:type="gramStart"/>
      <w:r>
        <w:rPr>
          <w:rFonts w:ascii="Tahoma" w:hAnsi="Tahoma" w:cs="Tahoma"/>
          <w:b/>
          <w:bCs/>
          <w:sz w:val="20"/>
          <w:szCs w:val="20"/>
          <w:lang w:val="en-US"/>
        </w:rPr>
        <w:t>To</w:t>
      </w:r>
      <w:proofErr w:type="gramEnd"/>
      <w:r>
        <w:rPr>
          <w:rFonts w:ascii="Tahoma" w:hAnsi="Tahoma" w:cs="Tahoma"/>
          <w:b/>
          <w:bCs/>
          <w:sz w:val="20"/>
          <w:szCs w:val="20"/>
          <w:lang w:val="en-US"/>
        </w:rPr>
        <w:t>:</w:t>
      </w:r>
      <w:r>
        <w:rPr>
          <w:rFonts w:ascii="Tahoma" w:hAnsi="Tahoma" w:cs="Tahoma"/>
          <w:sz w:val="20"/>
          <w:szCs w:val="20"/>
          <w:lang w:val="en-US"/>
        </w:rPr>
        <w:t xml:space="preserve"> 'john@singletononline.net'</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Wilmcote information</w:t>
      </w:r>
    </w:p>
    <w:p w:rsidR="0053462E" w:rsidRDefault="0053462E" w:rsidP="0053462E">
      <w:pPr>
        <w:rPr>
          <w:rFonts w:ascii="Times New Roman" w:hAnsi="Times New Roman" w:cs="Times New Roman"/>
          <w:sz w:val="24"/>
          <w:szCs w:val="24"/>
        </w:rPr>
      </w:pPr>
    </w:p>
    <w:p w:rsidR="0053462E" w:rsidRDefault="0053462E" w:rsidP="0053462E">
      <w:pPr>
        <w:rPr>
          <w:rFonts w:ascii="Verdana" w:hAnsi="Verdana"/>
          <w:sz w:val="20"/>
          <w:szCs w:val="20"/>
        </w:rPr>
      </w:pPr>
      <w:r>
        <w:rPr>
          <w:rFonts w:ascii="Verdana" w:hAnsi="Verdana"/>
          <w:sz w:val="20"/>
          <w:szCs w:val="20"/>
        </w:rPr>
        <w:t>Dear John</w:t>
      </w:r>
    </w:p>
    <w:p w:rsidR="0053462E" w:rsidRDefault="0053462E" w:rsidP="0053462E">
      <w:pPr>
        <w:rPr>
          <w:rFonts w:ascii="Verdana" w:hAnsi="Verdana"/>
          <w:sz w:val="20"/>
          <w:szCs w:val="20"/>
        </w:rPr>
      </w:pPr>
    </w:p>
    <w:p w:rsidR="0053462E" w:rsidRDefault="0053462E" w:rsidP="0053462E">
      <w:pPr>
        <w:rPr>
          <w:rFonts w:ascii="Verdana" w:hAnsi="Verdana"/>
          <w:sz w:val="20"/>
          <w:szCs w:val="20"/>
        </w:rPr>
      </w:pPr>
      <w:r>
        <w:rPr>
          <w:rFonts w:ascii="Verdana" w:hAnsi="Verdana"/>
          <w:sz w:val="20"/>
          <w:szCs w:val="20"/>
        </w:rPr>
        <w:t>Please find attached two spreadsheets, one is the full database of commercial properties the other is a list of all properties in Wilmcote Parish. This is similar to the printed list I gave you, but unfortunately does not include the band. It will be useful for seeing what “new” properties have come in to the Parish though, see note below.</w:t>
      </w:r>
    </w:p>
    <w:p w:rsidR="0053462E" w:rsidRDefault="0053462E" w:rsidP="0053462E">
      <w:pPr>
        <w:rPr>
          <w:rFonts w:ascii="Verdana" w:hAnsi="Verdana"/>
          <w:sz w:val="20"/>
          <w:szCs w:val="20"/>
        </w:rPr>
      </w:pPr>
    </w:p>
    <w:p w:rsidR="0053462E" w:rsidRDefault="0053462E" w:rsidP="0053462E">
      <w:pPr>
        <w:rPr>
          <w:rFonts w:ascii="Verdana" w:hAnsi="Verdana"/>
          <w:sz w:val="20"/>
          <w:szCs w:val="20"/>
        </w:rPr>
      </w:pPr>
      <w:r>
        <w:rPr>
          <w:rFonts w:ascii="Verdana" w:hAnsi="Verdana"/>
          <w:sz w:val="20"/>
          <w:szCs w:val="20"/>
        </w:rPr>
        <w:t>Pathlow Caravan Site is on the Council tax list rated as one assessment under band H</w:t>
      </w:r>
      <w:proofErr w:type="gramStart"/>
      <w:r>
        <w:rPr>
          <w:rFonts w:ascii="Verdana" w:hAnsi="Verdana"/>
          <w:sz w:val="20"/>
          <w:szCs w:val="20"/>
        </w:rPr>
        <w:t>.(</w:t>
      </w:r>
      <w:proofErr w:type="gramEnd"/>
      <w:r>
        <w:rPr>
          <w:rFonts w:ascii="Verdana" w:hAnsi="Verdana"/>
          <w:sz w:val="20"/>
          <w:szCs w:val="20"/>
        </w:rPr>
        <w:t xml:space="preserve">Highest band) ref </w:t>
      </w:r>
      <w:r>
        <w:rPr>
          <w:rFonts w:ascii="Arial" w:hAnsi="Arial" w:cs="Arial"/>
          <w:color w:val="000000"/>
          <w:sz w:val="20"/>
          <w:szCs w:val="20"/>
        </w:rPr>
        <w:t>0571006100</w:t>
      </w:r>
    </w:p>
    <w:p w:rsidR="0053462E" w:rsidRDefault="0053462E" w:rsidP="0053462E">
      <w:pPr>
        <w:rPr>
          <w:rFonts w:ascii="Verdana" w:hAnsi="Verdana"/>
          <w:sz w:val="20"/>
          <w:szCs w:val="20"/>
        </w:rPr>
      </w:pPr>
    </w:p>
    <w:p w:rsidR="0053462E" w:rsidRDefault="0053462E" w:rsidP="0053462E">
      <w:pPr>
        <w:rPr>
          <w:rFonts w:ascii="Verdana" w:hAnsi="Verdana"/>
          <w:sz w:val="20"/>
          <w:szCs w:val="20"/>
        </w:rPr>
      </w:pPr>
    </w:p>
    <w:p w:rsidR="0053462E" w:rsidRDefault="0053462E" w:rsidP="0053462E">
      <w:pPr>
        <w:rPr>
          <w:rFonts w:ascii="Verdana" w:hAnsi="Verdana"/>
          <w:sz w:val="20"/>
          <w:szCs w:val="20"/>
        </w:rPr>
      </w:pPr>
    </w:p>
    <w:p w:rsidR="0053462E" w:rsidRDefault="0053462E" w:rsidP="0053462E">
      <w:pPr>
        <w:rPr>
          <w:rFonts w:ascii="Verdana" w:hAnsi="Verdana"/>
          <w:sz w:val="20"/>
          <w:szCs w:val="20"/>
        </w:rPr>
      </w:pPr>
      <w:proofErr w:type="gramStart"/>
      <w:r>
        <w:rPr>
          <w:rFonts w:ascii="Verdana" w:hAnsi="Verdana"/>
          <w:sz w:val="20"/>
          <w:szCs w:val="20"/>
        </w:rPr>
        <w:t>Properties moving into the Wilmcote Parish next year.</w:t>
      </w:r>
      <w:proofErr w:type="gramEnd"/>
    </w:p>
    <w:p w:rsidR="0053462E" w:rsidRDefault="0053462E" w:rsidP="0053462E">
      <w:pPr>
        <w:rPr>
          <w:rFonts w:ascii="Verdana" w:hAnsi="Verdana"/>
          <w:sz w:val="20"/>
          <w:szCs w:val="20"/>
        </w:rPr>
      </w:pPr>
    </w:p>
    <w:p w:rsidR="0053462E" w:rsidRDefault="0053462E" w:rsidP="0053462E">
      <w:pPr>
        <w:autoSpaceDE w:val="0"/>
        <w:autoSpaceDN w:val="0"/>
        <w:rPr>
          <w:rFonts w:ascii="Times New Roman" w:hAnsi="Times New Roman"/>
          <w:sz w:val="24"/>
          <w:szCs w:val="24"/>
        </w:rPr>
      </w:pPr>
      <w:r>
        <w:t xml:space="preserve">7084011010    Churchill Cottage, </w:t>
      </w:r>
      <w:proofErr w:type="spellStart"/>
      <w:r>
        <w:t>Bishopton</w:t>
      </w:r>
      <w:proofErr w:type="spellEnd"/>
      <w:r>
        <w:t xml:space="preserve"> Hill Farm, CV37 0RG      Band    C         </w:t>
      </w:r>
    </w:p>
    <w:p w:rsidR="0053462E" w:rsidRDefault="0053462E" w:rsidP="0053462E">
      <w:pPr>
        <w:autoSpaceDE w:val="0"/>
        <w:autoSpaceDN w:val="0"/>
      </w:pPr>
      <w:r>
        <w:t xml:space="preserve">7084010005    Reynard Cottage, </w:t>
      </w:r>
      <w:proofErr w:type="spellStart"/>
      <w:r>
        <w:t>Bishopton</w:t>
      </w:r>
      <w:proofErr w:type="spellEnd"/>
      <w:r>
        <w:t xml:space="preserve"> Hill Farm, CV37 0RG      Band    C</w:t>
      </w:r>
    </w:p>
    <w:p w:rsidR="0053462E" w:rsidRDefault="0053462E" w:rsidP="0053462E">
      <w:pPr>
        <w:autoSpaceDE w:val="0"/>
        <w:autoSpaceDN w:val="0"/>
      </w:pPr>
      <w:r>
        <w:t xml:space="preserve">7084009007    Rose Cottage, </w:t>
      </w:r>
      <w:proofErr w:type="spellStart"/>
      <w:r>
        <w:t>Bishopton</w:t>
      </w:r>
      <w:proofErr w:type="spellEnd"/>
      <w:r>
        <w:t xml:space="preserve"> Hill Farm, CV37 0RG           Band    C</w:t>
      </w:r>
    </w:p>
    <w:p w:rsidR="0053462E" w:rsidRDefault="0053462E" w:rsidP="0053462E">
      <w:pPr>
        <w:autoSpaceDE w:val="0"/>
        <w:autoSpaceDN w:val="0"/>
      </w:pPr>
      <w:r>
        <w:t xml:space="preserve">7084008000    </w:t>
      </w:r>
      <w:proofErr w:type="spellStart"/>
      <w:r>
        <w:t>Bishopton</w:t>
      </w:r>
      <w:proofErr w:type="spellEnd"/>
      <w:r>
        <w:t xml:space="preserve"> Hill House, CV37 0RG                                Band    H</w:t>
      </w:r>
    </w:p>
    <w:p w:rsidR="0053462E" w:rsidRDefault="0053462E" w:rsidP="0053462E">
      <w:pPr>
        <w:autoSpaceDE w:val="0"/>
        <w:autoSpaceDN w:val="0"/>
      </w:pPr>
      <w:r>
        <w:t xml:space="preserve">7084008108    The Bungalow, </w:t>
      </w:r>
      <w:proofErr w:type="spellStart"/>
      <w:r>
        <w:t>Bishopton</w:t>
      </w:r>
      <w:proofErr w:type="spellEnd"/>
      <w:r>
        <w:t xml:space="preserve"> Hill House, CV37 0RG         Band    D</w:t>
      </w:r>
    </w:p>
    <w:p w:rsidR="0053462E" w:rsidRDefault="0053462E" w:rsidP="0053462E">
      <w:pPr>
        <w:autoSpaceDE w:val="0"/>
        <w:autoSpaceDN w:val="0"/>
      </w:pPr>
    </w:p>
    <w:p w:rsidR="0053462E" w:rsidRDefault="0053462E" w:rsidP="0053462E">
      <w:pPr>
        <w:autoSpaceDE w:val="0"/>
        <w:autoSpaceDN w:val="0"/>
      </w:pPr>
    </w:p>
    <w:p w:rsidR="0053462E" w:rsidRDefault="0053462E" w:rsidP="0053462E">
      <w:pPr>
        <w:autoSpaceDE w:val="0"/>
        <w:autoSpaceDN w:val="0"/>
      </w:pPr>
      <w:r>
        <w:t xml:space="preserve">Regarding totals of properties over the </w:t>
      </w:r>
      <w:proofErr w:type="gramStart"/>
      <w:r>
        <w:t>years ,</w:t>
      </w:r>
      <w:proofErr w:type="gramEnd"/>
      <w:r>
        <w:t xml:space="preserve"> I only have the totals at the dates listed below.</w:t>
      </w:r>
    </w:p>
    <w:p w:rsidR="0053462E" w:rsidRDefault="0053462E" w:rsidP="0053462E">
      <w:pPr>
        <w:autoSpaceDE w:val="0"/>
        <w:autoSpaceDN w:val="0"/>
      </w:pPr>
      <w:r>
        <w:t xml:space="preserve">However I have also attached a spreadsheet of the properties in Wilmcote with a “Completion Date”.  </w:t>
      </w:r>
      <w:proofErr w:type="gramStart"/>
      <w:r>
        <w:t>This  shows</w:t>
      </w:r>
      <w:proofErr w:type="gramEnd"/>
      <w:r>
        <w:t xml:space="preserve"> the date that property became </w:t>
      </w:r>
      <w:r>
        <w:rPr>
          <w:b/>
          <w:bCs/>
        </w:rPr>
        <w:t>liable for Council tax.</w:t>
      </w:r>
      <w:r>
        <w:t>  The list doesn’t include any that have been deleted though, but you can use it as a guide to see what has been built over the years (or found!)</w:t>
      </w:r>
    </w:p>
    <w:p w:rsidR="0053462E" w:rsidRDefault="0053462E" w:rsidP="0053462E">
      <w:pPr>
        <w:autoSpaceDE w:val="0"/>
        <w:autoSpaceDN w:val="0"/>
      </w:pPr>
      <w:r>
        <w:t>Where the date is 1/4/1993</w:t>
      </w:r>
      <w:proofErr w:type="gramStart"/>
      <w:r>
        <w:t>  that</w:t>
      </w:r>
      <w:proofErr w:type="gramEnd"/>
      <w:r>
        <w:t xml:space="preserve"> is the earliest date when council tax started.</w:t>
      </w:r>
    </w:p>
    <w:p w:rsidR="0053462E" w:rsidRDefault="0053462E" w:rsidP="0053462E">
      <w:pPr>
        <w:autoSpaceDE w:val="0"/>
        <w:autoSpaceDN w:val="0"/>
      </w:pPr>
    </w:p>
    <w:p w:rsidR="0053462E" w:rsidRDefault="0053462E" w:rsidP="0053462E">
      <w:pPr>
        <w:autoSpaceDE w:val="0"/>
        <w:autoSpaceDN w:val="0"/>
      </w:pPr>
      <w:r>
        <w:t>This spreadsheet also gives full address and postcode</w:t>
      </w:r>
    </w:p>
    <w:p w:rsidR="0053462E" w:rsidRDefault="0053462E" w:rsidP="0053462E">
      <w:pPr>
        <w:autoSpaceDE w:val="0"/>
        <w:autoSpaceDN w:val="0"/>
      </w:pPr>
    </w:p>
    <w:tbl>
      <w:tblPr>
        <w:tblW w:w="4660" w:type="dxa"/>
        <w:tblInd w:w="-15" w:type="dxa"/>
        <w:tblCellMar>
          <w:left w:w="0" w:type="dxa"/>
          <w:right w:w="0" w:type="dxa"/>
        </w:tblCellMar>
        <w:tblLook w:val="04A0" w:firstRow="1" w:lastRow="0" w:firstColumn="1" w:lastColumn="0" w:noHBand="0" w:noVBand="1"/>
      </w:tblPr>
      <w:tblGrid>
        <w:gridCol w:w="2540"/>
        <w:gridCol w:w="1217"/>
        <w:gridCol w:w="1060"/>
      </w:tblGrid>
      <w:tr w:rsidR="0053462E" w:rsidTr="0053462E">
        <w:trPr>
          <w:trHeight w:val="255"/>
        </w:trPr>
        <w:tc>
          <w:tcPr>
            <w:tcW w:w="2540" w:type="dxa"/>
            <w:noWrap/>
            <w:tcMar>
              <w:top w:w="0" w:type="dxa"/>
              <w:left w:w="108" w:type="dxa"/>
              <w:bottom w:w="0" w:type="dxa"/>
              <w:right w:w="108" w:type="dxa"/>
            </w:tcMar>
            <w:vAlign w:val="bottom"/>
            <w:hideMark/>
          </w:tcPr>
          <w:p w:rsidR="0053462E" w:rsidRDefault="0053462E">
            <w:pPr>
              <w:rPr>
                <w:rFonts w:ascii="Arial" w:hAnsi="Arial" w:cs="Arial"/>
                <w:sz w:val="20"/>
                <w:szCs w:val="20"/>
              </w:rPr>
            </w:pPr>
            <w:r>
              <w:rPr>
                <w:rFonts w:ascii="Arial" w:hAnsi="Arial" w:cs="Arial"/>
                <w:sz w:val="20"/>
                <w:szCs w:val="20"/>
              </w:rPr>
              <w:t>Wilmcote Parish Properties</w:t>
            </w:r>
          </w:p>
        </w:tc>
        <w:tc>
          <w:tcPr>
            <w:tcW w:w="1060" w:type="dxa"/>
            <w:noWrap/>
            <w:tcMar>
              <w:top w:w="0" w:type="dxa"/>
              <w:left w:w="108" w:type="dxa"/>
              <w:bottom w:w="0" w:type="dxa"/>
              <w:right w:w="108" w:type="dxa"/>
            </w:tcMar>
            <w:vAlign w:val="bottom"/>
          </w:tcPr>
          <w:p w:rsidR="0053462E" w:rsidRDefault="0053462E">
            <w:pPr>
              <w:rPr>
                <w:rFonts w:ascii="Arial" w:hAnsi="Arial" w:cs="Arial"/>
                <w:sz w:val="20"/>
                <w:szCs w:val="20"/>
              </w:rPr>
            </w:pPr>
          </w:p>
        </w:tc>
        <w:tc>
          <w:tcPr>
            <w:tcW w:w="1060" w:type="dxa"/>
            <w:noWrap/>
            <w:tcMar>
              <w:top w:w="0" w:type="dxa"/>
              <w:left w:w="108" w:type="dxa"/>
              <w:bottom w:w="0" w:type="dxa"/>
              <w:right w:w="108" w:type="dxa"/>
            </w:tcMar>
            <w:vAlign w:val="bottom"/>
          </w:tcPr>
          <w:p w:rsidR="0053462E" w:rsidRDefault="0053462E">
            <w:pPr>
              <w:rPr>
                <w:rFonts w:ascii="Arial" w:hAnsi="Arial" w:cs="Arial"/>
                <w:sz w:val="20"/>
                <w:szCs w:val="20"/>
              </w:rPr>
            </w:pPr>
          </w:p>
        </w:tc>
      </w:tr>
      <w:tr w:rsidR="0053462E" w:rsidTr="0053462E">
        <w:trPr>
          <w:trHeight w:val="255"/>
        </w:trPr>
        <w:tc>
          <w:tcPr>
            <w:tcW w:w="2540" w:type="dxa"/>
            <w:noWrap/>
            <w:tcMar>
              <w:top w:w="0" w:type="dxa"/>
              <w:left w:w="108" w:type="dxa"/>
              <w:bottom w:w="0" w:type="dxa"/>
              <w:right w:w="108" w:type="dxa"/>
            </w:tcMar>
            <w:vAlign w:val="bottom"/>
          </w:tcPr>
          <w:p w:rsidR="0053462E" w:rsidRDefault="0053462E">
            <w:pPr>
              <w:rPr>
                <w:rFonts w:ascii="Arial" w:hAnsi="Arial" w:cs="Arial"/>
                <w:sz w:val="20"/>
                <w:szCs w:val="20"/>
              </w:rPr>
            </w:pPr>
          </w:p>
        </w:tc>
        <w:tc>
          <w:tcPr>
            <w:tcW w:w="1060" w:type="dxa"/>
            <w:noWrap/>
            <w:tcMar>
              <w:top w:w="0" w:type="dxa"/>
              <w:left w:w="108" w:type="dxa"/>
              <w:bottom w:w="0" w:type="dxa"/>
              <w:right w:w="108" w:type="dxa"/>
            </w:tcMar>
            <w:vAlign w:val="bottom"/>
            <w:hideMark/>
          </w:tcPr>
          <w:p w:rsidR="0053462E" w:rsidRDefault="0053462E">
            <w:pPr>
              <w:jc w:val="right"/>
              <w:rPr>
                <w:rFonts w:ascii="Arial" w:hAnsi="Arial" w:cs="Arial"/>
                <w:sz w:val="20"/>
                <w:szCs w:val="20"/>
              </w:rPr>
            </w:pPr>
            <w:r>
              <w:rPr>
                <w:rFonts w:ascii="Arial" w:hAnsi="Arial" w:cs="Arial"/>
                <w:sz w:val="20"/>
                <w:szCs w:val="20"/>
              </w:rPr>
              <w:t>01/04/2014</w:t>
            </w:r>
          </w:p>
        </w:tc>
        <w:tc>
          <w:tcPr>
            <w:tcW w:w="1060" w:type="dxa"/>
            <w:noWrap/>
            <w:tcMar>
              <w:top w:w="0" w:type="dxa"/>
              <w:left w:w="108" w:type="dxa"/>
              <w:bottom w:w="0" w:type="dxa"/>
              <w:right w:w="108" w:type="dxa"/>
            </w:tcMar>
            <w:vAlign w:val="bottom"/>
            <w:hideMark/>
          </w:tcPr>
          <w:p w:rsidR="0053462E" w:rsidRDefault="0053462E">
            <w:pPr>
              <w:jc w:val="right"/>
              <w:rPr>
                <w:rFonts w:ascii="Arial" w:hAnsi="Arial" w:cs="Arial"/>
                <w:sz w:val="20"/>
                <w:szCs w:val="20"/>
              </w:rPr>
            </w:pPr>
            <w:r>
              <w:rPr>
                <w:rFonts w:ascii="Arial" w:hAnsi="Arial" w:cs="Arial"/>
                <w:sz w:val="20"/>
                <w:szCs w:val="20"/>
              </w:rPr>
              <w:t>506</w:t>
            </w:r>
          </w:p>
        </w:tc>
      </w:tr>
      <w:tr w:rsidR="0053462E" w:rsidTr="0053462E">
        <w:trPr>
          <w:trHeight w:val="255"/>
        </w:trPr>
        <w:tc>
          <w:tcPr>
            <w:tcW w:w="2540" w:type="dxa"/>
            <w:noWrap/>
            <w:tcMar>
              <w:top w:w="0" w:type="dxa"/>
              <w:left w:w="108" w:type="dxa"/>
              <w:bottom w:w="0" w:type="dxa"/>
              <w:right w:w="108" w:type="dxa"/>
            </w:tcMar>
            <w:vAlign w:val="bottom"/>
          </w:tcPr>
          <w:p w:rsidR="0053462E" w:rsidRDefault="0053462E">
            <w:pPr>
              <w:rPr>
                <w:rFonts w:ascii="Arial" w:hAnsi="Arial" w:cs="Arial"/>
                <w:sz w:val="20"/>
                <w:szCs w:val="20"/>
              </w:rPr>
            </w:pPr>
          </w:p>
        </w:tc>
        <w:tc>
          <w:tcPr>
            <w:tcW w:w="1060" w:type="dxa"/>
            <w:noWrap/>
            <w:tcMar>
              <w:top w:w="0" w:type="dxa"/>
              <w:left w:w="108" w:type="dxa"/>
              <w:bottom w:w="0" w:type="dxa"/>
              <w:right w:w="108" w:type="dxa"/>
            </w:tcMar>
            <w:vAlign w:val="bottom"/>
            <w:hideMark/>
          </w:tcPr>
          <w:p w:rsidR="0053462E" w:rsidRDefault="0053462E">
            <w:pPr>
              <w:jc w:val="right"/>
              <w:rPr>
                <w:rFonts w:ascii="Arial" w:hAnsi="Arial" w:cs="Arial"/>
                <w:sz w:val="20"/>
                <w:szCs w:val="20"/>
              </w:rPr>
            </w:pPr>
            <w:r>
              <w:rPr>
                <w:rFonts w:ascii="Arial" w:hAnsi="Arial" w:cs="Arial"/>
                <w:sz w:val="20"/>
                <w:szCs w:val="20"/>
              </w:rPr>
              <w:t>07/10/2013</w:t>
            </w:r>
          </w:p>
        </w:tc>
        <w:tc>
          <w:tcPr>
            <w:tcW w:w="1060" w:type="dxa"/>
            <w:noWrap/>
            <w:tcMar>
              <w:top w:w="0" w:type="dxa"/>
              <w:left w:w="108" w:type="dxa"/>
              <w:bottom w:w="0" w:type="dxa"/>
              <w:right w:w="108" w:type="dxa"/>
            </w:tcMar>
            <w:vAlign w:val="bottom"/>
            <w:hideMark/>
          </w:tcPr>
          <w:p w:rsidR="0053462E" w:rsidRDefault="0053462E">
            <w:pPr>
              <w:jc w:val="right"/>
              <w:rPr>
                <w:rFonts w:ascii="Arial" w:hAnsi="Arial" w:cs="Arial"/>
                <w:sz w:val="20"/>
                <w:szCs w:val="20"/>
              </w:rPr>
            </w:pPr>
            <w:r>
              <w:rPr>
                <w:rFonts w:ascii="Arial" w:hAnsi="Arial" w:cs="Arial"/>
                <w:sz w:val="20"/>
                <w:szCs w:val="20"/>
              </w:rPr>
              <w:t>505</w:t>
            </w:r>
          </w:p>
        </w:tc>
      </w:tr>
      <w:tr w:rsidR="0053462E" w:rsidTr="0053462E">
        <w:trPr>
          <w:trHeight w:val="255"/>
        </w:trPr>
        <w:tc>
          <w:tcPr>
            <w:tcW w:w="2540" w:type="dxa"/>
            <w:noWrap/>
            <w:tcMar>
              <w:top w:w="0" w:type="dxa"/>
              <w:left w:w="108" w:type="dxa"/>
              <w:bottom w:w="0" w:type="dxa"/>
              <w:right w:w="108" w:type="dxa"/>
            </w:tcMar>
            <w:vAlign w:val="bottom"/>
          </w:tcPr>
          <w:p w:rsidR="0053462E" w:rsidRDefault="0053462E">
            <w:pPr>
              <w:rPr>
                <w:rFonts w:ascii="Arial" w:hAnsi="Arial" w:cs="Arial"/>
                <w:sz w:val="20"/>
                <w:szCs w:val="20"/>
              </w:rPr>
            </w:pPr>
          </w:p>
        </w:tc>
        <w:tc>
          <w:tcPr>
            <w:tcW w:w="1060" w:type="dxa"/>
            <w:noWrap/>
            <w:tcMar>
              <w:top w:w="0" w:type="dxa"/>
              <w:left w:w="108" w:type="dxa"/>
              <w:bottom w:w="0" w:type="dxa"/>
              <w:right w:w="108" w:type="dxa"/>
            </w:tcMar>
            <w:vAlign w:val="bottom"/>
            <w:hideMark/>
          </w:tcPr>
          <w:p w:rsidR="0053462E" w:rsidRDefault="0053462E">
            <w:pPr>
              <w:jc w:val="right"/>
              <w:rPr>
                <w:rFonts w:ascii="Arial" w:hAnsi="Arial" w:cs="Arial"/>
                <w:sz w:val="20"/>
                <w:szCs w:val="20"/>
              </w:rPr>
            </w:pPr>
            <w:r>
              <w:rPr>
                <w:rFonts w:ascii="Arial" w:hAnsi="Arial" w:cs="Arial"/>
                <w:sz w:val="20"/>
                <w:szCs w:val="20"/>
              </w:rPr>
              <w:t>01/10/2012</w:t>
            </w:r>
          </w:p>
        </w:tc>
        <w:tc>
          <w:tcPr>
            <w:tcW w:w="1060" w:type="dxa"/>
            <w:noWrap/>
            <w:tcMar>
              <w:top w:w="0" w:type="dxa"/>
              <w:left w:w="108" w:type="dxa"/>
              <w:bottom w:w="0" w:type="dxa"/>
              <w:right w:w="108" w:type="dxa"/>
            </w:tcMar>
            <w:vAlign w:val="bottom"/>
            <w:hideMark/>
          </w:tcPr>
          <w:p w:rsidR="0053462E" w:rsidRDefault="0053462E">
            <w:pPr>
              <w:jc w:val="right"/>
              <w:rPr>
                <w:rFonts w:ascii="Arial" w:hAnsi="Arial" w:cs="Arial"/>
                <w:sz w:val="20"/>
                <w:szCs w:val="20"/>
              </w:rPr>
            </w:pPr>
            <w:r>
              <w:rPr>
                <w:rFonts w:ascii="Arial" w:hAnsi="Arial" w:cs="Arial"/>
                <w:sz w:val="20"/>
                <w:szCs w:val="20"/>
              </w:rPr>
              <w:t>503</w:t>
            </w:r>
          </w:p>
        </w:tc>
      </w:tr>
      <w:tr w:rsidR="0053462E" w:rsidTr="0053462E">
        <w:trPr>
          <w:trHeight w:val="255"/>
        </w:trPr>
        <w:tc>
          <w:tcPr>
            <w:tcW w:w="2540" w:type="dxa"/>
            <w:noWrap/>
            <w:tcMar>
              <w:top w:w="0" w:type="dxa"/>
              <w:left w:w="108" w:type="dxa"/>
              <w:bottom w:w="0" w:type="dxa"/>
              <w:right w:w="108" w:type="dxa"/>
            </w:tcMar>
            <w:vAlign w:val="bottom"/>
          </w:tcPr>
          <w:p w:rsidR="0053462E" w:rsidRDefault="0053462E">
            <w:pPr>
              <w:rPr>
                <w:rFonts w:ascii="Arial" w:hAnsi="Arial" w:cs="Arial"/>
                <w:sz w:val="20"/>
                <w:szCs w:val="20"/>
              </w:rPr>
            </w:pPr>
          </w:p>
        </w:tc>
        <w:tc>
          <w:tcPr>
            <w:tcW w:w="1060" w:type="dxa"/>
            <w:noWrap/>
            <w:tcMar>
              <w:top w:w="0" w:type="dxa"/>
              <w:left w:w="108" w:type="dxa"/>
              <w:bottom w:w="0" w:type="dxa"/>
              <w:right w:w="108" w:type="dxa"/>
            </w:tcMar>
            <w:vAlign w:val="bottom"/>
            <w:hideMark/>
          </w:tcPr>
          <w:p w:rsidR="0053462E" w:rsidRDefault="0053462E">
            <w:pPr>
              <w:jc w:val="right"/>
              <w:rPr>
                <w:rFonts w:ascii="Arial" w:hAnsi="Arial" w:cs="Arial"/>
                <w:sz w:val="20"/>
                <w:szCs w:val="20"/>
              </w:rPr>
            </w:pPr>
            <w:r>
              <w:rPr>
                <w:rFonts w:ascii="Arial" w:hAnsi="Arial" w:cs="Arial"/>
                <w:sz w:val="20"/>
                <w:szCs w:val="20"/>
              </w:rPr>
              <w:t>04/10/2011</w:t>
            </w:r>
          </w:p>
        </w:tc>
        <w:tc>
          <w:tcPr>
            <w:tcW w:w="1060" w:type="dxa"/>
            <w:noWrap/>
            <w:tcMar>
              <w:top w:w="0" w:type="dxa"/>
              <w:left w:w="108" w:type="dxa"/>
              <w:bottom w:w="0" w:type="dxa"/>
              <w:right w:w="108" w:type="dxa"/>
            </w:tcMar>
            <w:vAlign w:val="bottom"/>
            <w:hideMark/>
          </w:tcPr>
          <w:p w:rsidR="0053462E" w:rsidRDefault="0053462E">
            <w:pPr>
              <w:jc w:val="right"/>
              <w:rPr>
                <w:rFonts w:ascii="Arial" w:hAnsi="Arial" w:cs="Arial"/>
                <w:sz w:val="20"/>
                <w:szCs w:val="20"/>
              </w:rPr>
            </w:pPr>
            <w:r>
              <w:rPr>
                <w:rFonts w:ascii="Arial" w:hAnsi="Arial" w:cs="Arial"/>
                <w:sz w:val="20"/>
                <w:szCs w:val="20"/>
              </w:rPr>
              <w:t>499</w:t>
            </w:r>
          </w:p>
        </w:tc>
      </w:tr>
    </w:tbl>
    <w:p w:rsidR="0053462E" w:rsidRDefault="0053462E" w:rsidP="0053462E">
      <w:pPr>
        <w:autoSpaceDE w:val="0"/>
        <w:autoSpaceDN w:val="0"/>
      </w:pPr>
    </w:p>
    <w:p w:rsidR="0053462E" w:rsidRDefault="0053462E" w:rsidP="0053462E">
      <w:pPr>
        <w:autoSpaceDE w:val="0"/>
        <w:autoSpaceDN w:val="0"/>
      </w:pPr>
    </w:p>
    <w:p w:rsidR="0053462E" w:rsidRDefault="0053462E" w:rsidP="0053462E">
      <w:pPr>
        <w:autoSpaceDE w:val="0"/>
        <w:autoSpaceDN w:val="0"/>
      </w:pPr>
    </w:p>
    <w:p w:rsidR="0053462E" w:rsidRDefault="0053462E" w:rsidP="0053462E">
      <w:pPr>
        <w:autoSpaceDE w:val="0"/>
        <w:autoSpaceDN w:val="0"/>
      </w:pPr>
      <w:r>
        <w:t xml:space="preserve">In looking into this in more </w:t>
      </w:r>
      <w:proofErr w:type="gramStart"/>
      <w:r>
        <w:t>detail  I</w:t>
      </w:r>
      <w:proofErr w:type="gramEnd"/>
      <w:r>
        <w:t xml:space="preserve"> have found two properties that  show in Aston Cantlow, that should actually  be in Wilmcote parish</w:t>
      </w:r>
    </w:p>
    <w:p w:rsidR="0053462E" w:rsidRDefault="0053462E" w:rsidP="0053462E">
      <w:pPr>
        <w:autoSpaceDE w:val="0"/>
        <w:autoSpaceDN w:val="0"/>
      </w:pPr>
      <w:proofErr w:type="spellStart"/>
      <w:proofErr w:type="gramStart"/>
      <w:r>
        <w:t>ie</w:t>
      </w:r>
      <w:proofErr w:type="spellEnd"/>
      <w:proofErr w:type="gramEnd"/>
      <w:r>
        <w:t xml:space="preserve"> </w:t>
      </w:r>
    </w:p>
    <w:p w:rsidR="0053462E" w:rsidRDefault="0053462E" w:rsidP="0053462E">
      <w:pPr>
        <w:autoSpaceDE w:val="0"/>
        <w:autoSpaceDN w:val="0"/>
      </w:pPr>
    </w:p>
    <w:p w:rsidR="0053462E" w:rsidRDefault="0053462E" w:rsidP="0053462E">
      <w:pPr>
        <w:autoSpaceDE w:val="0"/>
        <w:autoSpaceDN w:val="0"/>
      </w:pPr>
      <w:r>
        <w:t xml:space="preserve">0579007000    9 </w:t>
      </w:r>
      <w:proofErr w:type="spellStart"/>
      <w:r>
        <w:t>Edkins</w:t>
      </w:r>
      <w:proofErr w:type="spellEnd"/>
      <w:r>
        <w:t xml:space="preserve"> Park, 125A Aston Cantlow Road, Wilmcote, Stratford </w:t>
      </w:r>
      <w:proofErr w:type="gramStart"/>
      <w:r>
        <w:t>Upon</w:t>
      </w:r>
      <w:proofErr w:type="gramEnd"/>
      <w:r>
        <w:t xml:space="preserve"> Avon CV37 9XP</w:t>
      </w:r>
    </w:p>
    <w:p w:rsidR="0053462E" w:rsidRDefault="0053462E" w:rsidP="0053462E">
      <w:pPr>
        <w:autoSpaceDE w:val="0"/>
        <w:autoSpaceDN w:val="0"/>
      </w:pPr>
      <w:r>
        <w:t xml:space="preserve">0579010000    10 </w:t>
      </w:r>
      <w:proofErr w:type="spellStart"/>
      <w:r>
        <w:t>Edkins</w:t>
      </w:r>
      <w:proofErr w:type="spellEnd"/>
      <w:r>
        <w:t xml:space="preserve"> Park, 125A Aston Cantlow Road, Wilmcote, Stratford </w:t>
      </w:r>
      <w:proofErr w:type="gramStart"/>
      <w:r>
        <w:t>Upon</w:t>
      </w:r>
      <w:proofErr w:type="gramEnd"/>
      <w:r>
        <w:t xml:space="preserve"> Avon CV37 9XP</w:t>
      </w:r>
    </w:p>
    <w:p w:rsidR="0053462E" w:rsidRDefault="0053462E" w:rsidP="0053462E">
      <w:pPr>
        <w:autoSpaceDE w:val="0"/>
        <w:autoSpaceDN w:val="0"/>
      </w:pPr>
    </w:p>
    <w:p w:rsidR="0053462E" w:rsidRDefault="0053462E" w:rsidP="0053462E">
      <w:pPr>
        <w:autoSpaceDE w:val="0"/>
        <w:autoSpaceDN w:val="0"/>
      </w:pPr>
      <w:r>
        <w:t>I will get these amended and let the occupiers know.</w:t>
      </w:r>
    </w:p>
    <w:p w:rsidR="0053462E" w:rsidRDefault="0053462E" w:rsidP="0053462E">
      <w:pPr>
        <w:autoSpaceDE w:val="0"/>
        <w:autoSpaceDN w:val="0"/>
      </w:pPr>
    </w:p>
    <w:p w:rsidR="0053462E" w:rsidRDefault="0053462E" w:rsidP="0053462E">
      <w:pPr>
        <w:autoSpaceDE w:val="0"/>
        <w:autoSpaceDN w:val="0"/>
      </w:pPr>
      <w:r>
        <w:lastRenderedPageBreak/>
        <w:t>Also  I have established that Glebe Farm, Aston Cantlow, Henley In Arden, Warwickshire, B95 6JL  should be in Aston Cantlow , not in Wilmcote, and will also correct this.</w:t>
      </w:r>
    </w:p>
    <w:p w:rsidR="0053462E" w:rsidRDefault="0053462E" w:rsidP="0053462E">
      <w:pPr>
        <w:autoSpaceDE w:val="0"/>
        <w:autoSpaceDN w:val="0"/>
      </w:pPr>
    </w:p>
    <w:p w:rsidR="0053462E" w:rsidRDefault="0053462E" w:rsidP="0053462E">
      <w:pPr>
        <w:autoSpaceDE w:val="0"/>
        <w:autoSpaceDN w:val="0"/>
      </w:pPr>
    </w:p>
    <w:p w:rsidR="0053462E" w:rsidRDefault="0053462E" w:rsidP="0053462E">
      <w:pPr>
        <w:autoSpaceDE w:val="0"/>
        <w:autoSpaceDN w:val="0"/>
      </w:pPr>
      <w:r>
        <w:t>I hope this information is useful and if you need anything else don’t hesitate to contact me.</w:t>
      </w:r>
    </w:p>
    <w:p w:rsidR="0053462E" w:rsidRDefault="0053462E" w:rsidP="0053462E">
      <w:pPr>
        <w:autoSpaceDE w:val="0"/>
        <w:autoSpaceDN w:val="0"/>
      </w:pPr>
    </w:p>
    <w:p w:rsidR="0053462E" w:rsidRDefault="0053462E" w:rsidP="0053462E">
      <w:pPr>
        <w:autoSpaceDE w:val="0"/>
        <w:autoSpaceDN w:val="0"/>
      </w:pPr>
      <w:r>
        <w:t>Regards</w:t>
      </w:r>
    </w:p>
    <w:p w:rsidR="0053462E" w:rsidRDefault="0053462E" w:rsidP="0053462E">
      <w:pPr>
        <w:autoSpaceDE w:val="0"/>
        <w:autoSpaceDN w:val="0"/>
      </w:pPr>
      <w:r>
        <w:t>Steve</w:t>
      </w:r>
    </w:p>
    <w:p w:rsidR="0053462E" w:rsidRDefault="0053462E" w:rsidP="0053462E">
      <w:pPr>
        <w:autoSpaceDE w:val="0"/>
        <w:autoSpaceDN w:val="0"/>
      </w:pPr>
    </w:p>
    <w:p w:rsidR="0053462E" w:rsidRDefault="0053462E" w:rsidP="0053462E">
      <w:pPr>
        <w:rPr>
          <w:rFonts w:ascii="Verdana" w:hAnsi="Verdana"/>
          <w:sz w:val="20"/>
          <w:szCs w:val="20"/>
        </w:rPr>
      </w:pPr>
    </w:p>
    <w:p w:rsidR="0053462E" w:rsidRDefault="0053462E" w:rsidP="0053462E">
      <w:pPr>
        <w:rPr>
          <w:rFonts w:ascii="Verdana" w:hAnsi="Verdana"/>
          <w:sz w:val="20"/>
          <w:szCs w:val="20"/>
        </w:rPr>
      </w:pPr>
    </w:p>
    <w:p w:rsidR="0053462E" w:rsidRDefault="0053462E" w:rsidP="0053462E">
      <w:pPr>
        <w:pStyle w:val="NormalWeb"/>
      </w:pPr>
      <w:r>
        <w:rPr>
          <w:rFonts w:ascii="Verdana" w:hAnsi="Verdana"/>
          <w:b/>
          <w:bCs/>
          <w:sz w:val="20"/>
          <w:szCs w:val="20"/>
        </w:rPr>
        <w:t>Steve Bosworth (IRRV</w:t>
      </w:r>
      <w:proofErr w:type="gramStart"/>
      <w:r>
        <w:rPr>
          <w:rFonts w:ascii="Verdana" w:hAnsi="Verdana"/>
          <w:b/>
          <w:bCs/>
          <w:sz w:val="20"/>
          <w:szCs w:val="20"/>
        </w:rPr>
        <w:t>)</w:t>
      </w:r>
      <w:proofErr w:type="gramEnd"/>
      <w:r>
        <w:br/>
      </w:r>
      <w:r>
        <w:rPr>
          <w:rFonts w:ascii="Verdana" w:hAnsi="Verdana"/>
          <w:b/>
          <w:bCs/>
          <w:sz w:val="20"/>
          <w:szCs w:val="20"/>
        </w:rPr>
        <w:t>Senior Revenues Officer</w:t>
      </w:r>
      <w:r>
        <w:br/>
      </w:r>
      <w:r>
        <w:rPr>
          <w:rStyle w:val="Strong"/>
          <w:rFonts w:ascii="Verdana" w:hAnsi="Verdana"/>
          <w:sz w:val="20"/>
          <w:szCs w:val="20"/>
        </w:rPr>
        <w:t>Enterprise Housing and Revenues</w:t>
      </w:r>
    </w:p>
    <w:p w:rsidR="0053462E" w:rsidRDefault="0053462E" w:rsidP="0053462E">
      <w:pPr>
        <w:pStyle w:val="NormalWeb"/>
        <w:rPr>
          <w:rFonts w:ascii="Arial" w:hAnsi="Arial" w:cs="Arial"/>
        </w:rPr>
      </w:pPr>
      <w:r>
        <w:rPr>
          <w:rFonts w:ascii="Verdana" w:hAnsi="Verdana"/>
          <w:color w:val="000000"/>
          <w:sz w:val="15"/>
          <w:szCs w:val="15"/>
        </w:rPr>
        <w:t>Stratford on Avon District Council, Elizabeth House, Church Street, Stratford upon Avon, Warwickshire, CV37 6HX</w:t>
      </w:r>
      <w:r>
        <w:rPr>
          <w:rFonts w:ascii="Verdana" w:hAnsi="Verdana"/>
          <w:color w:val="000000"/>
          <w:sz w:val="15"/>
          <w:szCs w:val="15"/>
        </w:rPr>
        <w:br/>
        <w:t>Switchboard +44 (0)1789 267575, Direct +44 (0)1789 260942, Fax +44 (0)1789 260969</w:t>
      </w:r>
      <w:r>
        <w:rPr>
          <w:rFonts w:ascii="Verdana" w:hAnsi="Verdana"/>
          <w:color w:val="808080"/>
          <w:sz w:val="15"/>
          <w:szCs w:val="15"/>
        </w:rPr>
        <w:br/>
      </w:r>
      <w:r>
        <w:rPr>
          <w:rFonts w:ascii="Verdana" w:hAnsi="Verdana"/>
          <w:color w:val="000000"/>
          <w:sz w:val="15"/>
          <w:szCs w:val="15"/>
        </w:rPr>
        <w:t>email</w:t>
      </w:r>
      <w:r>
        <w:rPr>
          <w:rFonts w:ascii="Verdana" w:hAnsi="Verdana"/>
          <w:color w:val="808080"/>
          <w:sz w:val="15"/>
          <w:szCs w:val="15"/>
        </w:rPr>
        <w:t xml:space="preserve"> </w:t>
      </w:r>
      <w:hyperlink r:id="rId7" w:tooltip="blocked::mailto:steve.steve.bosworth@stratford-dc.gov.uk&#10;mailto:balvinder.heran@stratford-dc.gov.uk" w:history="1">
        <w:r>
          <w:rPr>
            <w:rStyle w:val="Hyperlink"/>
            <w:sz w:val="15"/>
            <w:szCs w:val="15"/>
          </w:rPr>
          <w:t>steve.bosworth@stratford-dc.gov.uk</w:t>
        </w:r>
      </w:hyperlink>
      <w:r>
        <w:rPr>
          <w:rFonts w:ascii="Verdana" w:hAnsi="Verdana"/>
          <w:color w:val="808080"/>
          <w:sz w:val="15"/>
          <w:szCs w:val="15"/>
        </w:rPr>
        <w:t>,</w:t>
      </w:r>
      <w:r>
        <w:t xml:space="preserve"> </w:t>
      </w:r>
      <w:r>
        <w:rPr>
          <w:rFonts w:ascii="Verdana" w:hAnsi="Verdana"/>
          <w:color w:val="000000"/>
          <w:sz w:val="15"/>
          <w:szCs w:val="15"/>
        </w:rPr>
        <w:t xml:space="preserve">web </w:t>
      </w:r>
      <w:hyperlink r:id="rId8" w:tooltip="blocked::http://www.stratford.gov.uk/&#10;http://www.stratford.gov.uk/" w:history="1">
        <w:r>
          <w:rPr>
            <w:rStyle w:val="Hyperlink"/>
            <w:sz w:val="15"/>
            <w:szCs w:val="15"/>
          </w:rPr>
          <w:t>www.stratford.gov.uk</w:t>
        </w:r>
      </w:hyperlink>
      <w:r>
        <w:rPr>
          <w:rFonts w:ascii="Arial" w:hAnsi="Arial" w:cs="Arial"/>
        </w:rPr>
        <w:t xml:space="preserve"> </w:t>
      </w:r>
    </w:p>
    <w:p w:rsidR="0053462E" w:rsidRDefault="0053462E" w:rsidP="0053462E">
      <w:pPr>
        <w:pStyle w:val="NormalWeb"/>
        <w:rPr>
          <w:rFonts w:ascii="Verdana" w:hAnsi="Verdana"/>
          <w:b/>
          <w:bCs/>
          <w:sz w:val="20"/>
          <w:szCs w:val="20"/>
        </w:rPr>
      </w:pPr>
      <w:r>
        <w:rPr>
          <w:rFonts w:ascii="Verdana" w:hAnsi="Verdana"/>
          <w:b/>
          <w:bCs/>
          <w:sz w:val="20"/>
          <w:szCs w:val="20"/>
        </w:rPr>
        <w:t xml:space="preserve">Please don’t print this email unless you need to </w:t>
      </w:r>
    </w:p>
    <w:p w:rsidR="0053462E" w:rsidRDefault="0053462E" w:rsidP="0053462E">
      <w:pPr>
        <w:rPr>
          <w:rFonts w:ascii="Times New Roman" w:hAnsi="Times New Roman"/>
          <w:sz w:val="24"/>
          <w:szCs w:val="24"/>
        </w:rPr>
      </w:pPr>
    </w:p>
    <w:p w:rsidR="0053462E" w:rsidRDefault="0053462E" w:rsidP="0053462E">
      <w:r>
        <w:br/>
        <w:t>________________________________________________________________________</w:t>
      </w:r>
      <w:r>
        <w:br/>
      </w:r>
      <w:proofErr w:type="gramStart"/>
      <w:r>
        <w:t>This</w:t>
      </w:r>
      <w:proofErr w:type="gramEnd"/>
      <w:r>
        <w:t xml:space="preserve"> e-mail has been scanned for all viruses by Star. The</w:t>
      </w:r>
      <w:r>
        <w:br/>
        <w:t>service is powered by MessageLabs. For more information on a proactive</w:t>
      </w:r>
      <w:r>
        <w:br/>
        <w:t>anti-virus service working around the clock, around the globe, visit</w:t>
      </w:r>
      <w:proofErr w:type="gramStart"/>
      <w:r>
        <w:t>:</w:t>
      </w:r>
      <w:proofErr w:type="gramEnd"/>
      <w:r>
        <w:br/>
      </w:r>
      <w:hyperlink r:id="rId9" w:history="1">
        <w:r>
          <w:rPr>
            <w:rStyle w:val="Hyperlink"/>
          </w:rPr>
          <w:t>http://www.star.net.uk</w:t>
        </w:r>
      </w:hyperlink>
      <w:r>
        <w:br/>
        <w:t>________________________________________________________________________</w:t>
      </w:r>
      <w:r>
        <w:br/>
      </w:r>
      <w:r>
        <w:br/>
      </w:r>
      <w:r>
        <w:br/>
        <w:t>This e-mail is confidential and may contain legally privileged information. You should not disclose its contents to any other person. If you are not the intended recipient, please notify the sender immediately.</w:t>
      </w:r>
      <w:r>
        <w:br/>
      </w:r>
      <w:r>
        <w:br/>
        <w:t>Whilst the Council has taken every reasonable precaution to minimise the risk of computer software viruses, it cannot accept liability for any damage which you may sustain as a result of such viruses. You should carry out your own virus checks before opening the e-mail (and/or any attachments).</w:t>
      </w:r>
      <w:r>
        <w:br/>
      </w:r>
      <w:r>
        <w:br/>
        <w:t xml:space="preserve">Unless expressly stated otherwise, the contents of this e-mail represent only the views of the sender </w:t>
      </w:r>
      <w:r>
        <w:lastRenderedPageBreak/>
        <w:t>and do not impose any legal obligation upon the Council or commit the Council to any course of action.</w:t>
      </w:r>
    </w:p>
    <w:p w:rsidR="009356EA" w:rsidRPr="00454D66" w:rsidRDefault="009356EA" w:rsidP="009356EA">
      <w:pPr>
        <w:pStyle w:val="ListParagraph"/>
        <w:ind w:left="1440"/>
        <w:rPr>
          <w:sz w:val="32"/>
          <w:szCs w:val="32"/>
        </w:rPr>
      </w:pPr>
    </w:p>
    <w:p w:rsidR="00F80148" w:rsidRDefault="00686FC8" w:rsidP="00C21F6A">
      <w:pPr>
        <w:pStyle w:val="ListParagraph"/>
        <w:numPr>
          <w:ilvl w:val="1"/>
          <w:numId w:val="1"/>
        </w:numPr>
        <w:rPr>
          <w:sz w:val="32"/>
          <w:szCs w:val="32"/>
        </w:rPr>
      </w:pPr>
      <w:r w:rsidRPr="00454D66">
        <w:rPr>
          <w:sz w:val="32"/>
          <w:szCs w:val="32"/>
        </w:rPr>
        <w:t>Minutes/Notes -</w:t>
      </w:r>
      <w:r w:rsidRPr="00454D66">
        <w:rPr>
          <w:sz w:val="32"/>
          <w:szCs w:val="32"/>
        </w:rPr>
        <w:tab/>
        <w:t>Record documents of meetings</w:t>
      </w:r>
    </w:p>
    <w:p w:rsidR="00686FC8" w:rsidRPr="00454D66" w:rsidRDefault="00686FC8" w:rsidP="00F80148">
      <w:pPr>
        <w:pStyle w:val="ListParagraph"/>
        <w:ind w:left="1440"/>
        <w:rPr>
          <w:sz w:val="32"/>
          <w:szCs w:val="32"/>
        </w:rPr>
      </w:pPr>
      <w:r w:rsidRPr="00454D66">
        <w:rPr>
          <w:sz w:val="32"/>
          <w:szCs w:val="32"/>
        </w:rPr>
        <w:t xml:space="preserve"> </w:t>
      </w:r>
    </w:p>
    <w:p w:rsidR="00686FC8" w:rsidRPr="00454D66" w:rsidRDefault="00686FC8" w:rsidP="00686FC8">
      <w:pPr>
        <w:pStyle w:val="ListParagraph"/>
        <w:numPr>
          <w:ilvl w:val="0"/>
          <w:numId w:val="1"/>
        </w:numPr>
        <w:rPr>
          <w:sz w:val="32"/>
          <w:szCs w:val="32"/>
        </w:rPr>
      </w:pPr>
      <w:r w:rsidRPr="00454D66">
        <w:rPr>
          <w:sz w:val="32"/>
          <w:szCs w:val="32"/>
        </w:rPr>
        <w:t>Reports Prepared</w:t>
      </w:r>
    </w:p>
    <w:p w:rsidR="000C0024" w:rsidRDefault="000C0024" w:rsidP="000C0024">
      <w:pPr>
        <w:pStyle w:val="ListParagraph"/>
        <w:ind w:left="1440"/>
        <w:rPr>
          <w:sz w:val="32"/>
          <w:szCs w:val="32"/>
        </w:rPr>
      </w:pPr>
      <w:r>
        <w:rPr>
          <w:sz w:val="32"/>
          <w:szCs w:val="32"/>
        </w:rPr>
        <w:t>The data from the Census allowed an analysis to be done of the dwelling stock and residents of the parish, and, in particular, to compare it with the averages for both Stratford upon Avon District and England as a whole.  A report highlighting the major differences was produced as follows:</w:t>
      </w:r>
    </w:p>
    <w:p w:rsidR="00B85709" w:rsidRPr="000F1C8B" w:rsidRDefault="00B85709" w:rsidP="00B85709">
      <w:pPr>
        <w:pStyle w:val="Heading1"/>
        <w:jc w:val="center"/>
        <w:rPr>
          <w:color w:val="auto"/>
          <w:u w:val="single"/>
        </w:rPr>
      </w:pPr>
      <w:r w:rsidRPr="000F1C8B">
        <w:rPr>
          <w:color w:val="auto"/>
          <w:u w:val="single"/>
        </w:rPr>
        <w:t>Wilmcote Parish, Stratford upon Avon District, Warwickshire</w:t>
      </w:r>
    </w:p>
    <w:p w:rsidR="00B85709" w:rsidRPr="009150AC" w:rsidRDefault="00B85709" w:rsidP="00B85709">
      <w:pPr>
        <w:pStyle w:val="Heading1"/>
        <w:jc w:val="both"/>
        <w:rPr>
          <w:rFonts w:asciiTheme="minorHAnsi" w:hAnsiTheme="minorHAnsi"/>
          <w:b w:val="0"/>
          <w:color w:val="auto"/>
          <w:sz w:val="22"/>
          <w:szCs w:val="22"/>
        </w:rPr>
      </w:pPr>
      <w:r w:rsidRPr="009150AC">
        <w:rPr>
          <w:rFonts w:asciiTheme="minorHAnsi" w:hAnsiTheme="minorHAnsi"/>
          <w:b w:val="0"/>
          <w:color w:val="auto"/>
          <w:sz w:val="22"/>
          <w:szCs w:val="22"/>
        </w:rPr>
        <w:t xml:space="preserve">The parish of Wilmcote consists of the village of Wilmcote and the hamlet of Pathlow and their surrounding fields.  It has a rich history, with both the village and hamlet appearing in The Doomsday Book.  </w:t>
      </w:r>
      <w:proofErr w:type="gramStart"/>
      <w:r w:rsidRPr="009150AC">
        <w:rPr>
          <w:rFonts w:asciiTheme="minorHAnsi" w:hAnsiTheme="minorHAnsi"/>
          <w:b w:val="0"/>
          <w:color w:val="auto"/>
          <w:sz w:val="22"/>
          <w:szCs w:val="22"/>
        </w:rPr>
        <w:t>Its</w:t>
      </w:r>
      <w:proofErr w:type="gramEnd"/>
      <w:r w:rsidRPr="009150AC">
        <w:rPr>
          <w:rFonts w:asciiTheme="minorHAnsi" w:hAnsiTheme="minorHAnsi"/>
          <w:b w:val="0"/>
          <w:color w:val="auto"/>
          <w:sz w:val="22"/>
          <w:szCs w:val="22"/>
        </w:rPr>
        <w:t xml:space="preserve"> most famous building, and a source of tourism, is Mary Arden’s House, originally the farm of William Shakespeare’s grandfather, Robert Shakespeare, and then the home of his parents. In all, the parish has 19 buildings listed by English Heritage.</w:t>
      </w:r>
    </w:p>
    <w:p w:rsidR="00B85709" w:rsidRDefault="00B85709" w:rsidP="00B85709"/>
    <w:p w:rsidR="00B85709" w:rsidRDefault="00B85709" w:rsidP="00B85709">
      <w:r>
        <w:t>As at January 2013 (main source is the updated 2011 census), the parish has an estimated 1229 usual residents in 525 households (with a further 24 household spaces with no usual residents).  The type of housing is generally typical of both the Stratford upon Avon District and England as a whole in many aspects, but significantly different in a few.  The main statistically significant differences are shown below:</w:t>
      </w:r>
    </w:p>
    <w:p w:rsidR="00B85709" w:rsidRDefault="00B85709" w:rsidP="00B85709">
      <w:r>
        <w:t xml:space="preserve">   </w:t>
      </w:r>
    </w:p>
    <w:tbl>
      <w:tblPr>
        <w:tblStyle w:val="TableGrid"/>
        <w:tblW w:w="0" w:type="auto"/>
        <w:tblLook w:val="04A0" w:firstRow="1" w:lastRow="0" w:firstColumn="1" w:lastColumn="0" w:noHBand="0" w:noVBand="1"/>
      </w:tblPr>
      <w:tblGrid>
        <w:gridCol w:w="2310"/>
        <w:gridCol w:w="2310"/>
        <w:gridCol w:w="2311"/>
        <w:gridCol w:w="2311"/>
      </w:tblGrid>
      <w:tr w:rsidR="00B85709" w:rsidTr="008F3D2D">
        <w:tc>
          <w:tcPr>
            <w:tcW w:w="2310" w:type="dxa"/>
          </w:tcPr>
          <w:p w:rsidR="00B85709" w:rsidRDefault="00B85709" w:rsidP="008F3D2D"/>
        </w:tc>
        <w:tc>
          <w:tcPr>
            <w:tcW w:w="2310" w:type="dxa"/>
          </w:tcPr>
          <w:p w:rsidR="00B85709" w:rsidRDefault="00B85709" w:rsidP="008F3D2D">
            <w:pPr>
              <w:jc w:val="center"/>
            </w:pPr>
            <w:r>
              <w:t>Wilmcote</w:t>
            </w:r>
          </w:p>
        </w:tc>
        <w:tc>
          <w:tcPr>
            <w:tcW w:w="2311" w:type="dxa"/>
          </w:tcPr>
          <w:p w:rsidR="00B85709" w:rsidRDefault="00B85709" w:rsidP="008F3D2D">
            <w:pPr>
              <w:jc w:val="center"/>
            </w:pPr>
            <w:r>
              <w:t>SDC</w:t>
            </w:r>
          </w:p>
        </w:tc>
        <w:tc>
          <w:tcPr>
            <w:tcW w:w="2311" w:type="dxa"/>
          </w:tcPr>
          <w:p w:rsidR="00B85709" w:rsidRDefault="00B85709" w:rsidP="008F3D2D">
            <w:pPr>
              <w:jc w:val="center"/>
            </w:pPr>
            <w:r>
              <w:t>England</w:t>
            </w:r>
          </w:p>
        </w:tc>
      </w:tr>
      <w:tr w:rsidR="00B85709" w:rsidTr="008F3D2D">
        <w:trPr>
          <w:trHeight w:val="504"/>
        </w:trPr>
        <w:tc>
          <w:tcPr>
            <w:tcW w:w="2310" w:type="dxa"/>
          </w:tcPr>
          <w:p w:rsidR="00B85709" w:rsidRDefault="00B85709" w:rsidP="008F3D2D">
            <w:r>
              <w:t>Owned as a % of total households</w:t>
            </w:r>
          </w:p>
        </w:tc>
        <w:tc>
          <w:tcPr>
            <w:tcW w:w="2310" w:type="dxa"/>
          </w:tcPr>
          <w:p w:rsidR="00B85709" w:rsidRDefault="00B85709" w:rsidP="008F3D2D">
            <w:pPr>
              <w:jc w:val="center"/>
            </w:pPr>
            <w:r>
              <w:t>83%</w:t>
            </w:r>
          </w:p>
        </w:tc>
        <w:tc>
          <w:tcPr>
            <w:tcW w:w="2311" w:type="dxa"/>
          </w:tcPr>
          <w:p w:rsidR="00B85709" w:rsidRDefault="00B85709" w:rsidP="008F3D2D">
            <w:pPr>
              <w:jc w:val="center"/>
            </w:pPr>
            <w:r>
              <w:t>72%</w:t>
            </w:r>
          </w:p>
        </w:tc>
        <w:tc>
          <w:tcPr>
            <w:tcW w:w="2311" w:type="dxa"/>
          </w:tcPr>
          <w:p w:rsidR="00B85709" w:rsidRDefault="00B85709" w:rsidP="008F3D2D">
            <w:pPr>
              <w:jc w:val="center"/>
            </w:pPr>
            <w:r>
              <w:t>63%</w:t>
            </w:r>
          </w:p>
        </w:tc>
      </w:tr>
      <w:tr w:rsidR="00B85709" w:rsidTr="008F3D2D">
        <w:trPr>
          <w:trHeight w:val="512"/>
        </w:trPr>
        <w:tc>
          <w:tcPr>
            <w:tcW w:w="2310" w:type="dxa"/>
          </w:tcPr>
          <w:p w:rsidR="00B85709" w:rsidRDefault="00B85709" w:rsidP="008F3D2D">
            <w:r>
              <w:t>Social rented as a % of total households</w:t>
            </w:r>
          </w:p>
        </w:tc>
        <w:tc>
          <w:tcPr>
            <w:tcW w:w="2310" w:type="dxa"/>
          </w:tcPr>
          <w:p w:rsidR="00B85709" w:rsidRDefault="00B85709" w:rsidP="008F3D2D">
            <w:pPr>
              <w:jc w:val="center"/>
            </w:pPr>
            <w:r>
              <w:t>8%</w:t>
            </w:r>
          </w:p>
        </w:tc>
        <w:tc>
          <w:tcPr>
            <w:tcW w:w="2311" w:type="dxa"/>
          </w:tcPr>
          <w:p w:rsidR="00B85709" w:rsidRDefault="00B85709" w:rsidP="008F3D2D">
            <w:pPr>
              <w:jc w:val="center"/>
            </w:pPr>
            <w:r>
              <w:t>13%</w:t>
            </w:r>
          </w:p>
        </w:tc>
        <w:tc>
          <w:tcPr>
            <w:tcW w:w="2311" w:type="dxa"/>
          </w:tcPr>
          <w:p w:rsidR="00B85709" w:rsidRDefault="00B85709" w:rsidP="008F3D2D">
            <w:pPr>
              <w:jc w:val="center"/>
            </w:pPr>
            <w:r>
              <w:t>18%</w:t>
            </w:r>
          </w:p>
        </w:tc>
      </w:tr>
      <w:tr w:rsidR="00B85709" w:rsidTr="008F3D2D">
        <w:trPr>
          <w:trHeight w:val="534"/>
        </w:trPr>
        <w:tc>
          <w:tcPr>
            <w:tcW w:w="2310" w:type="dxa"/>
          </w:tcPr>
          <w:p w:rsidR="00B85709" w:rsidRDefault="00B85709" w:rsidP="008F3D2D">
            <w:r>
              <w:t>Private rented as a % of total households</w:t>
            </w:r>
          </w:p>
        </w:tc>
        <w:tc>
          <w:tcPr>
            <w:tcW w:w="2310" w:type="dxa"/>
          </w:tcPr>
          <w:p w:rsidR="00B85709" w:rsidRDefault="00B85709" w:rsidP="008F3D2D">
            <w:pPr>
              <w:jc w:val="center"/>
            </w:pPr>
            <w:r>
              <w:t>7%</w:t>
            </w:r>
          </w:p>
        </w:tc>
        <w:tc>
          <w:tcPr>
            <w:tcW w:w="2311" w:type="dxa"/>
          </w:tcPr>
          <w:p w:rsidR="00B85709" w:rsidRDefault="00B85709" w:rsidP="008F3D2D">
            <w:pPr>
              <w:jc w:val="center"/>
            </w:pPr>
            <w:r>
              <w:t>13%</w:t>
            </w:r>
          </w:p>
        </w:tc>
        <w:tc>
          <w:tcPr>
            <w:tcW w:w="2311" w:type="dxa"/>
          </w:tcPr>
          <w:p w:rsidR="00B85709" w:rsidRDefault="00B85709" w:rsidP="008F3D2D">
            <w:pPr>
              <w:jc w:val="center"/>
            </w:pPr>
            <w:r>
              <w:t>17%</w:t>
            </w:r>
          </w:p>
        </w:tc>
      </w:tr>
    </w:tbl>
    <w:p w:rsidR="00B85709" w:rsidRDefault="00B85709" w:rsidP="00B85709"/>
    <w:p w:rsidR="00B85709" w:rsidRDefault="00B85709" w:rsidP="00B85709"/>
    <w:p w:rsidR="00B85709" w:rsidRDefault="00B85709" w:rsidP="00B85709">
      <w:r>
        <w:lastRenderedPageBreak/>
        <w:t xml:space="preserve">  The composition of the dwellings in the parish is typical of both the Stratford upon Avon District and England as a whole in many aspects, but significantly different in a few.  The main statistically significant differences are shown below:</w:t>
      </w:r>
    </w:p>
    <w:p w:rsidR="00B85709" w:rsidRDefault="00B85709" w:rsidP="00B85709"/>
    <w:tbl>
      <w:tblPr>
        <w:tblStyle w:val="TableGrid"/>
        <w:tblW w:w="0" w:type="auto"/>
        <w:tblLook w:val="04A0" w:firstRow="1" w:lastRow="0" w:firstColumn="1" w:lastColumn="0" w:noHBand="0" w:noVBand="1"/>
      </w:tblPr>
      <w:tblGrid>
        <w:gridCol w:w="2310"/>
        <w:gridCol w:w="2310"/>
        <w:gridCol w:w="2311"/>
        <w:gridCol w:w="2311"/>
      </w:tblGrid>
      <w:tr w:rsidR="00B85709" w:rsidTr="008F3D2D">
        <w:tc>
          <w:tcPr>
            <w:tcW w:w="2310" w:type="dxa"/>
          </w:tcPr>
          <w:p w:rsidR="00B85709" w:rsidRDefault="00B85709" w:rsidP="008F3D2D"/>
        </w:tc>
        <w:tc>
          <w:tcPr>
            <w:tcW w:w="2310" w:type="dxa"/>
          </w:tcPr>
          <w:p w:rsidR="00B85709" w:rsidRDefault="00B85709" w:rsidP="008F3D2D">
            <w:pPr>
              <w:jc w:val="center"/>
            </w:pPr>
            <w:r>
              <w:t>Wilmcote</w:t>
            </w:r>
          </w:p>
        </w:tc>
        <w:tc>
          <w:tcPr>
            <w:tcW w:w="2311" w:type="dxa"/>
          </w:tcPr>
          <w:p w:rsidR="00B85709" w:rsidRDefault="00B85709" w:rsidP="008F3D2D">
            <w:pPr>
              <w:jc w:val="center"/>
            </w:pPr>
            <w:r>
              <w:t>SDC</w:t>
            </w:r>
          </w:p>
        </w:tc>
        <w:tc>
          <w:tcPr>
            <w:tcW w:w="2311" w:type="dxa"/>
          </w:tcPr>
          <w:p w:rsidR="00B85709" w:rsidRDefault="00B85709" w:rsidP="008F3D2D">
            <w:pPr>
              <w:jc w:val="center"/>
            </w:pPr>
            <w:r>
              <w:t>England</w:t>
            </w:r>
          </w:p>
        </w:tc>
      </w:tr>
      <w:tr w:rsidR="00B85709" w:rsidTr="008F3D2D">
        <w:trPr>
          <w:trHeight w:val="788"/>
        </w:trPr>
        <w:tc>
          <w:tcPr>
            <w:tcW w:w="2310" w:type="dxa"/>
          </w:tcPr>
          <w:p w:rsidR="00B85709" w:rsidRDefault="00B85709" w:rsidP="008F3D2D">
            <w:r>
              <w:t>Detached houses and bungalows as % of all dwellings</w:t>
            </w:r>
          </w:p>
        </w:tc>
        <w:tc>
          <w:tcPr>
            <w:tcW w:w="2310" w:type="dxa"/>
          </w:tcPr>
          <w:p w:rsidR="00B85709" w:rsidRDefault="00B85709" w:rsidP="008F3D2D">
            <w:pPr>
              <w:jc w:val="center"/>
            </w:pPr>
            <w:r>
              <w:t>49.5%</w:t>
            </w:r>
          </w:p>
        </w:tc>
        <w:tc>
          <w:tcPr>
            <w:tcW w:w="2311" w:type="dxa"/>
          </w:tcPr>
          <w:p w:rsidR="00B85709" w:rsidRDefault="00B85709" w:rsidP="008F3D2D">
            <w:pPr>
              <w:jc w:val="center"/>
            </w:pPr>
            <w:r>
              <w:t>37.2%</w:t>
            </w:r>
          </w:p>
        </w:tc>
        <w:tc>
          <w:tcPr>
            <w:tcW w:w="2311" w:type="dxa"/>
          </w:tcPr>
          <w:p w:rsidR="00B85709" w:rsidRDefault="00B85709" w:rsidP="008F3D2D">
            <w:pPr>
              <w:jc w:val="center"/>
            </w:pPr>
            <w:r>
              <w:t>22.4%</w:t>
            </w:r>
          </w:p>
        </w:tc>
      </w:tr>
      <w:tr w:rsidR="00B85709" w:rsidTr="008F3D2D">
        <w:trPr>
          <w:trHeight w:val="790"/>
        </w:trPr>
        <w:tc>
          <w:tcPr>
            <w:tcW w:w="2310" w:type="dxa"/>
          </w:tcPr>
          <w:p w:rsidR="00B85709" w:rsidRDefault="00B85709" w:rsidP="008F3D2D">
            <w:r>
              <w:t>Caravans, mobile or temporary structures as % of all dwellings</w:t>
            </w:r>
          </w:p>
        </w:tc>
        <w:tc>
          <w:tcPr>
            <w:tcW w:w="2310" w:type="dxa"/>
          </w:tcPr>
          <w:p w:rsidR="00B85709" w:rsidRDefault="00B85709" w:rsidP="008F3D2D">
            <w:pPr>
              <w:jc w:val="center"/>
            </w:pPr>
            <w:r>
              <w:t>10.5%</w:t>
            </w:r>
          </w:p>
        </w:tc>
        <w:tc>
          <w:tcPr>
            <w:tcW w:w="2311" w:type="dxa"/>
          </w:tcPr>
          <w:p w:rsidR="00B85709" w:rsidRDefault="00B85709" w:rsidP="008F3D2D">
            <w:pPr>
              <w:jc w:val="center"/>
            </w:pPr>
            <w:r>
              <w:t>1.3%</w:t>
            </w:r>
          </w:p>
        </w:tc>
        <w:tc>
          <w:tcPr>
            <w:tcW w:w="2311" w:type="dxa"/>
          </w:tcPr>
          <w:p w:rsidR="00B85709" w:rsidRDefault="00B85709" w:rsidP="008F3D2D">
            <w:pPr>
              <w:jc w:val="center"/>
            </w:pPr>
            <w:r>
              <w:t>0.4%</w:t>
            </w:r>
          </w:p>
        </w:tc>
      </w:tr>
      <w:tr w:rsidR="00B85709" w:rsidTr="008F3D2D">
        <w:trPr>
          <w:trHeight w:val="97"/>
        </w:trPr>
        <w:tc>
          <w:tcPr>
            <w:tcW w:w="2310" w:type="dxa"/>
          </w:tcPr>
          <w:p w:rsidR="00B85709" w:rsidRDefault="00B85709" w:rsidP="008F3D2D"/>
        </w:tc>
        <w:tc>
          <w:tcPr>
            <w:tcW w:w="2310" w:type="dxa"/>
          </w:tcPr>
          <w:p w:rsidR="00B85709" w:rsidRDefault="00B85709" w:rsidP="008F3D2D">
            <w:pPr>
              <w:jc w:val="center"/>
            </w:pPr>
          </w:p>
        </w:tc>
        <w:tc>
          <w:tcPr>
            <w:tcW w:w="2311" w:type="dxa"/>
          </w:tcPr>
          <w:p w:rsidR="00B85709" w:rsidRDefault="00B85709" w:rsidP="008F3D2D">
            <w:pPr>
              <w:jc w:val="center"/>
            </w:pPr>
          </w:p>
        </w:tc>
        <w:tc>
          <w:tcPr>
            <w:tcW w:w="2311" w:type="dxa"/>
          </w:tcPr>
          <w:p w:rsidR="00B85709" w:rsidRDefault="00B85709" w:rsidP="008F3D2D">
            <w:pPr>
              <w:jc w:val="center"/>
            </w:pPr>
          </w:p>
        </w:tc>
      </w:tr>
      <w:tr w:rsidR="00B85709" w:rsidTr="008F3D2D">
        <w:trPr>
          <w:trHeight w:val="101"/>
        </w:trPr>
        <w:tc>
          <w:tcPr>
            <w:tcW w:w="2310" w:type="dxa"/>
          </w:tcPr>
          <w:p w:rsidR="00B85709" w:rsidRDefault="00B85709" w:rsidP="008F3D2D"/>
        </w:tc>
        <w:tc>
          <w:tcPr>
            <w:tcW w:w="2310" w:type="dxa"/>
          </w:tcPr>
          <w:p w:rsidR="00B85709" w:rsidRDefault="00B85709" w:rsidP="008F3D2D">
            <w:pPr>
              <w:jc w:val="center"/>
            </w:pPr>
          </w:p>
        </w:tc>
        <w:tc>
          <w:tcPr>
            <w:tcW w:w="2311" w:type="dxa"/>
          </w:tcPr>
          <w:p w:rsidR="00B85709" w:rsidRDefault="00B85709" w:rsidP="008F3D2D">
            <w:pPr>
              <w:jc w:val="center"/>
            </w:pPr>
          </w:p>
        </w:tc>
        <w:tc>
          <w:tcPr>
            <w:tcW w:w="2311" w:type="dxa"/>
          </w:tcPr>
          <w:p w:rsidR="00B85709" w:rsidRDefault="00B85709" w:rsidP="008F3D2D">
            <w:pPr>
              <w:jc w:val="center"/>
            </w:pPr>
          </w:p>
        </w:tc>
      </w:tr>
      <w:tr w:rsidR="00B85709" w:rsidTr="008F3D2D">
        <w:trPr>
          <w:trHeight w:val="958"/>
        </w:trPr>
        <w:tc>
          <w:tcPr>
            <w:tcW w:w="2310" w:type="dxa"/>
          </w:tcPr>
          <w:p w:rsidR="00B85709" w:rsidRDefault="00B85709" w:rsidP="008F3D2D">
            <w:r>
              <w:t>Dwellings in council tax bands E to H inc. as % of all dwellings</w:t>
            </w:r>
          </w:p>
        </w:tc>
        <w:tc>
          <w:tcPr>
            <w:tcW w:w="2310" w:type="dxa"/>
          </w:tcPr>
          <w:p w:rsidR="00B85709" w:rsidRDefault="00B85709" w:rsidP="008F3D2D">
            <w:pPr>
              <w:jc w:val="center"/>
            </w:pPr>
            <w:r>
              <w:t>45%</w:t>
            </w:r>
          </w:p>
        </w:tc>
        <w:tc>
          <w:tcPr>
            <w:tcW w:w="2311" w:type="dxa"/>
          </w:tcPr>
          <w:p w:rsidR="00B85709" w:rsidRDefault="00B85709" w:rsidP="008F3D2D">
            <w:pPr>
              <w:jc w:val="center"/>
            </w:pPr>
            <w:r>
              <w:t>35%</w:t>
            </w:r>
          </w:p>
        </w:tc>
        <w:tc>
          <w:tcPr>
            <w:tcW w:w="2311" w:type="dxa"/>
          </w:tcPr>
          <w:p w:rsidR="00B85709" w:rsidRDefault="00B85709" w:rsidP="008F3D2D">
            <w:pPr>
              <w:jc w:val="center"/>
            </w:pPr>
            <w:r>
              <w:t>19%</w:t>
            </w:r>
          </w:p>
        </w:tc>
      </w:tr>
    </w:tbl>
    <w:p w:rsidR="00B85709" w:rsidRDefault="00B85709" w:rsidP="00B85709">
      <w:pPr>
        <w:jc w:val="both"/>
      </w:pPr>
    </w:p>
    <w:p w:rsidR="00B85709" w:rsidRDefault="00B85709" w:rsidP="00B85709">
      <w:pPr>
        <w:jc w:val="both"/>
      </w:pPr>
      <w:r>
        <w:t>The dwelling stock in Wilmcote Parish has been very stable for some time.  There have been no large developments and, since the dwellings are generally surrounded by Green Belt and there is little room for infill, there are no plans for significant housing developments.  Stratford District 5 year housing plans do not mention Wilmcote.  Stratford District Planning figures (which exclude Travellers sites, which are handled separately) show that, in the last five years, 15 new dwellings have been approved in the parish; only 8 of these are adding to our housing stock, as the rest are replacements or relocations of mobile homes. All 8 are considered windfalls with 6 of them being one large windfall, and none of the 8 have been started to date. It is believed that over the same five years the number of pitches on Travellers sites in the parish have increased by 11.</w:t>
      </w:r>
    </w:p>
    <w:p w:rsidR="00B85709" w:rsidRDefault="00B85709" w:rsidP="00B85709">
      <w:pPr>
        <w:jc w:val="both"/>
      </w:pPr>
    </w:p>
    <w:p w:rsidR="00B85709" w:rsidRDefault="00B85709" w:rsidP="00B85709">
      <w:pPr>
        <w:jc w:val="both"/>
      </w:pPr>
    </w:p>
    <w:p w:rsidR="00B85709" w:rsidRDefault="00B85709" w:rsidP="00B85709">
      <w:pPr>
        <w:jc w:val="both"/>
      </w:pPr>
      <w:r>
        <w:t>Of the 1229 usual residents, about 18% are 15 years old or less, a similar percentage to that in Stratford District and in the whole of England.  However, Wilmcote Parish has a slightly higher percentage of older residents, 10.7% being 75 or older.  The Stratford District review of 2009 highlighted the above average age of its population compared to the national average as an issue for the future, with projections that the percentage of 65 and over would rise from 18% in 2006 to 29% by 2031 (with this 2009 paper stating that the district had 24% of its population having reached retirement age against a national average of 19%). The table below attempts to see if this issue is relevant to Wilmcote Parish, by adding those aged 75 and above to those classified in the 2011 census (updated to January 2013) as between 15 and 74 but economically inactive due to retirement:</w:t>
      </w:r>
    </w:p>
    <w:p w:rsidR="00B85709" w:rsidRDefault="00B85709" w:rsidP="00B85709">
      <w:pPr>
        <w:jc w:val="both"/>
      </w:pPr>
    </w:p>
    <w:tbl>
      <w:tblPr>
        <w:tblStyle w:val="TableGrid"/>
        <w:tblW w:w="0" w:type="auto"/>
        <w:tblLook w:val="04A0" w:firstRow="1" w:lastRow="0" w:firstColumn="1" w:lastColumn="0" w:noHBand="0" w:noVBand="1"/>
      </w:tblPr>
      <w:tblGrid>
        <w:gridCol w:w="2310"/>
        <w:gridCol w:w="2310"/>
        <w:gridCol w:w="2311"/>
        <w:gridCol w:w="2311"/>
      </w:tblGrid>
      <w:tr w:rsidR="00B85709" w:rsidTr="008F3D2D">
        <w:tc>
          <w:tcPr>
            <w:tcW w:w="2310" w:type="dxa"/>
          </w:tcPr>
          <w:p w:rsidR="00B85709" w:rsidRDefault="00B85709" w:rsidP="008F3D2D">
            <w:r>
              <w:t xml:space="preserve">Residents </w:t>
            </w:r>
          </w:p>
        </w:tc>
        <w:tc>
          <w:tcPr>
            <w:tcW w:w="2310" w:type="dxa"/>
          </w:tcPr>
          <w:p w:rsidR="00B85709" w:rsidRDefault="00B85709" w:rsidP="008F3D2D">
            <w:pPr>
              <w:jc w:val="center"/>
            </w:pPr>
            <w:r>
              <w:t>Wilmcote</w:t>
            </w:r>
          </w:p>
        </w:tc>
        <w:tc>
          <w:tcPr>
            <w:tcW w:w="2311" w:type="dxa"/>
          </w:tcPr>
          <w:p w:rsidR="00B85709" w:rsidRDefault="00B85709" w:rsidP="008F3D2D">
            <w:pPr>
              <w:jc w:val="center"/>
            </w:pPr>
            <w:r>
              <w:t>SDC</w:t>
            </w:r>
          </w:p>
        </w:tc>
        <w:tc>
          <w:tcPr>
            <w:tcW w:w="2311" w:type="dxa"/>
          </w:tcPr>
          <w:p w:rsidR="00B85709" w:rsidRDefault="00B85709" w:rsidP="008F3D2D">
            <w:pPr>
              <w:jc w:val="center"/>
            </w:pPr>
            <w:r>
              <w:t>England</w:t>
            </w:r>
          </w:p>
        </w:tc>
      </w:tr>
      <w:tr w:rsidR="00B85709" w:rsidTr="008F3D2D">
        <w:trPr>
          <w:trHeight w:val="586"/>
        </w:trPr>
        <w:tc>
          <w:tcPr>
            <w:tcW w:w="2310" w:type="dxa"/>
          </w:tcPr>
          <w:p w:rsidR="00B85709" w:rsidRDefault="00B85709" w:rsidP="008F3D2D">
            <w:pPr>
              <w:jc w:val="both"/>
            </w:pPr>
            <w:r>
              <w:lastRenderedPageBreak/>
              <w:t>75+ as a % of all residents</w:t>
            </w:r>
          </w:p>
        </w:tc>
        <w:tc>
          <w:tcPr>
            <w:tcW w:w="2310" w:type="dxa"/>
          </w:tcPr>
          <w:p w:rsidR="00B85709" w:rsidRDefault="00B85709" w:rsidP="008F3D2D">
            <w:pPr>
              <w:jc w:val="center"/>
            </w:pPr>
            <w:r>
              <w:t>10.7%</w:t>
            </w:r>
          </w:p>
        </w:tc>
        <w:tc>
          <w:tcPr>
            <w:tcW w:w="2311" w:type="dxa"/>
          </w:tcPr>
          <w:p w:rsidR="00B85709" w:rsidRDefault="00B85709" w:rsidP="008F3D2D">
            <w:pPr>
              <w:jc w:val="center"/>
            </w:pPr>
            <w:r>
              <w:t>10.2%</w:t>
            </w:r>
          </w:p>
        </w:tc>
        <w:tc>
          <w:tcPr>
            <w:tcW w:w="2311" w:type="dxa"/>
          </w:tcPr>
          <w:p w:rsidR="00B85709" w:rsidRDefault="00B85709" w:rsidP="008F3D2D">
            <w:pPr>
              <w:jc w:val="center"/>
            </w:pPr>
            <w:r>
              <w:t>7.8%</w:t>
            </w:r>
          </w:p>
        </w:tc>
      </w:tr>
      <w:tr w:rsidR="00B85709" w:rsidTr="008F3D2D">
        <w:tc>
          <w:tcPr>
            <w:tcW w:w="2310" w:type="dxa"/>
          </w:tcPr>
          <w:p w:rsidR="00B85709" w:rsidRDefault="00B85709" w:rsidP="008F3D2D">
            <w:pPr>
              <w:jc w:val="both"/>
            </w:pPr>
            <w:r>
              <w:t>16 to 74, but economically inactive due to retirement as a % of all residents</w:t>
            </w:r>
          </w:p>
        </w:tc>
        <w:tc>
          <w:tcPr>
            <w:tcW w:w="2310" w:type="dxa"/>
          </w:tcPr>
          <w:p w:rsidR="00B85709" w:rsidRDefault="00B85709" w:rsidP="008F3D2D">
            <w:pPr>
              <w:jc w:val="center"/>
            </w:pPr>
            <w:r>
              <w:t>14.3%</w:t>
            </w:r>
          </w:p>
        </w:tc>
        <w:tc>
          <w:tcPr>
            <w:tcW w:w="2311" w:type="dxa"/>
          </w:tcPr>
          <w:p w:rsidR="00B85709" w:rsidRDefault="00B85709" w:rsidP="008F3D2D">
            <w:pPr>
              <w:jc w:val="center"/>
            </w:pPr>
            <w:r>
              <w:t>12.6%</w:t>
            </w:r>
          </w:p>
        </w:tc>
        <w:tc>
          <w:tcPr>
            <w:tcW w:w="2311" w:type="dxa"/>
          </w:tcPr>
          <w:p w:rsidR="00B85709" w:rsidRDefault="00B85709" w:rsidP="008F3D2D">
            <w:pPr>
              <w:jc w:val="center"/>
            </w:pPr>
            <w:r>
              <w:t>10.0%</w:t>
            </w:r>
          </w:p>
        </w:tc>
      </w:tr>
      <w:tr w:rsidR="00B85709" w:rsidTr="008F3D2D">
        <w:tc>
          <w:tcPr>
            <w:tcW w:w="2310" w:type="dxa"/>
          </w:tcPr>
          <w:p w:rsidR="00B85709" w:rsidRDefault="00B85709" w:rsidP="008F3D2D">
            <w:pPr>
              <w:jc w:val="both"/>
            </w:pPr>
            <w:r>
              <w:t>TOTAL</w:t>
            </w:r>
          </w:p>
        </w:tc>
        <w:tc>
          <w:tcPr>
            <w:tcW w:w="2310" w:type="dxa"/>
          </w:tcPr>
          <w:p w:rsidR="00B85709" w:rsidRDefault="00B85709" w:rsidP="008F3D2D">
            <w:pPr>
              <w:jc w:val="center"/>
            </w:pPr>
            <w:r>
              <w:t>25%</w:t>
            </w:r>
          </w:p>
        </w:tc>
        <w:tc>
          <w:tcPr>
            <w:tcW w:w="2311" w:type="dxa"/>
          </w:tcPr>
          <w:p w:rsidR="00B85709" w:rsidRDefault="00B85709" w:rsidP="008F3D2D">
            <w:pPr>
              <w:jc w:val="center"/>
            </w:pPr>
            <w:r>
              <w:t>22.8%</w:t>
            </w:r>
          </w:p>
        </w:tc>
        <w:tc>
          <w:tcPr>
            <w:tcW w:w="2311" w:type="dxa"/>
          </w:tcPr>
          <w:p w:rsidR="00B85709" w:rsidRDefault="00B85709" w:rsidP="008F3D2D">
            <w:pPr>
              <w:jc w:val="center"/>
            </w:pPr>
            <w:r>
              <w:t>17.8%</w:t>
            </w:r>
          </w:p>
        </w:tc>
      </w:tr>
    </w:tbl>
    <w:p w:rsidR="00B85709" w:rsidRDefault="00B85709" w:rsidP="00B85709">
      <w:pPr>
        <w:jc w:val="both"/>
      </w:pPr>
    </w:p>
    <w:p w:rsidR="00B85709" w:rsidRDefault="00B85709" w:rsidP="00B85709">
      <w:pPr>
        <w:jc w:val="both"/>
      </w:pPr>
      <w:r>
        <w:t>These figures show that Wilmcote Parish is even more heavily skewed towards older retired residents than Stratford District as a whole, and this is perhaps the most significant feature of the parish population.</w:t>
      </w:r>
    </w:p>
    <w:p w:rsidR="00B85709" w:rsidRDefault="00B85709" w:rsidP="00B85709">
      <w:pPr>
        <w:jc w:val="both"/>
      </w:pPr>
    </w:p>
    <w:p w:rsidR="00B85709" w:rsidRDefault="00B85709" w:rsidP="00B85709">
      <w:pPr>
        <w:jc w:val="both"/>
      </w:pPr>
      <w:r>
        <w:t xml:space="preserve">Turning now to the economically active residents aged 16 to 74, Wilmcote parish has 585 people, 47.6% of its population; this compares with 50.4% in Stratford District as a whole, and 47.5% in England.  It would appear that, compared to the country as a whole, </w:t>
      </w:r>
      <w:proofErr w:type="spellStart"/>
      <w:r>
        <w:t>Wilmcote’s</w:t>
      </w:r>
      <w:proofErr w:type="spellEnd"/>
      <w:r>
        <w:t xml:space="preserve"> higher retired population is partially countered by a lower economically active but unemployed percentage which is 1.1% compared with England’s 4.4%, and by a lower student population percentage. The table below again makes comparisons of parish figures with Stratford District and the whole of England, focussing on the percentages of these economically active residents between 16 and 74 who fall into certain work related categories which might be relevant for our Neighbourhood Plan:</w:t>
      </w:r>
    </w:p>
    <w:tbl>
      <w:tblPr>
        <w:tblStyle w:val="TableGrid"/>
        <w:tblW w:w="0" w:type="auto"/>
        <w:tblLook w:val="04A0" w:firstRow="1" w:lastRow="0" w:firstColumn="1" w:lastColumn="0" w:noHBand="0" w:noVBand="1"/>
      </w:tblPr>
      <w:tblGrid>
        <w:gridCol w:w="3369"/>
        <w:gridCol w:w="1984"/>
        <w:gridCol w:w="1985"/>
        <w:gridCol w:w="1904"/>
      </w:tblGrid>
      <w:tr w:rsidR="00B85709" w:rsidTr="008F3D2D">
        <w:tc>
          <w:tcPr>
            <w:tcW w:w="3369" w:type="dxa"/>
          </w:tcPr>
          <w:p w:rsidR="00B85709" w:rsidRDefault="00B85709" w:rsidP="008F3D2D"/>
        </w:tc>
        <w:tc>
          <w:tcPr>
            <w:tcW w:w="1984" w:type="dxa"/>
          </w:tcPr>
          <w:p w:rsidR="00B85709" w:rsidRDefault="00B85709" w:rsidP="008F3D2D">
            <w:pPr>
              <w:jc w:val="center"/>
            </w:pPr>
            <w:r>
              <w:t>Wilmcote</w:t>
            </w:r>
          </w:p>
        </w:tc>
        <w:tc>
          <w:tcPr>
            <w:tcW w:w="1985" w:type="dxa"/>
          </w:tcPr>
          <w:p w:rsidR="00B85709" w:rsidRDefault="00B85709" w:rsidP="008F3D2D">
            <w:pPr>
              <w:jc w:val="center"/>
            </w:pPr>
            <w:r>
              <w:t>SDC</w:t>
            </w:r>
          </w:p>
        </w:tc>
        <w:tc>
          <w:tcPr>
            <w:tcW w:w="1904" w:type="dxa"/>
          </w:tcPr>
          <w:p w:rsidR="00B85709" w:rsidRDefault="00B85709" w:rsidP="008F3D2D">
            <w:pPr>
              <w:jc w:val="center"/>
            </w:pPr>
            <w:r>
              <w:t>England</w:t>
            </w:r>
          </w:p>
        </w:tc>
      </w:tr>
      <w:tr w:rsidR="00B85709" w:rsidTr="008F3D2D">
        <w:trPr>
          <w:trHeight w:val="535"/>
        </w:trPr>
        <w:tc>
          <w:tcPr>
            <w:tcW w:w="3369" w:type="dxa"/>
          </w:tcPr>
          <w:p w:rsidR="00B85709" w:rsidRDefault="00B85709" w:rsidP="008F3D2D">
            <w:pPr>
              <w:jc w:val="both"/>
            </w:pPr>
            <w:r>
              <w:t>Percentage of economically active residents in full-time employment</w:t>
            </w:r>
          </w:p>
        </w:tc>
        <w:tc>
          <w:tcPr>
            <w:tcW w:w="1984" w:type="dxa"/>
          </w:tcPr>
          <w:p w:rsidR="00B85709" w:rsidRDefault="00B85709" w:rsidP="008F3D2D">
            <w:pPr>
              <w:jc w:val="center"/>
            </w:pPr>
            <w:r>
              <w:t>50.6%</w:t>
            </w:r>
          </w:p>
        </w:tc>
        <w:tc>
          <w:tcPr>
            <w:tcW w:w="1985" w:type="dxa"/>
          </w:tcPr>
          <w:p w:rsidR="00B85709" w:rsidRDefault="00B85709" w:rsidP="008F3D2D">
            <w:pPr>
              <w:jc w:val="center"/>
            </w:pPr>
            <w:r>
              <w:t>55.6%</w:t>
            </w:r>
          </w:p>
        </w:tc>
        <w:tc>
          <w:tcPr>
            <w:tcW w:w="1904" w:type="dxa"/>
          </w:tcPr>
          <w:p w:rsidR="00B85709" w:rsidRDefault="00B85709" w:rsidP="008F3D2D">
            <w:pPr>
              <w:jc w:val="center"/>
            </w:pPr>
            <w:r>
              <w:t>59.7%</w:t>
            </w:r>
          </w:p>
        </w:tc>
      </w:tr>
      <w:tr w:rsidR="00B85709" w:rsidTr="008F3D2D">
        <w:trPr>
          <w:trHeight w:val="532"/>
        </w:trPr>
        <w:tc>
          <w:tcPr>
            <w:tcW w:w="3369" w:type="dxa"/>
          </w:tcPr>
          <w:p w:rsidR="00B85709" w:rsidRDefault="00B85709" w:rsidP="008F3D2D">
            <w:pPr>
              <w:jc w:val="both"/>
            </w:pPr>
            <w:r>
              <w:t>Percentage of economically active residents in part-time employment</w:t>
            </w:r>
          </w:p>
        </w:tc>
        <w:tc>
          <w:tcPr>
            <w:tcW w:w="1984" w:type="dxa"/>
          </w:tcPr>
          <w:p w:rsidR="00B85709" w:rsidRDefault="00B85709" w:rsidP="008F3D2D">
            <w:pPr>
              <w:jc w:val="center"/>
            </w:pPr>
            <w:r>
              <w:t>21.4%</w:t>
            </w:r>
          </w:p>
        </w:tc>
        <w:tc>
          <w:tcPr>
            <w:tcW w:w="1985" w:type="dxa"/>
          </w:tcPr>
          <w:p w:rsidR="00B85709" w:rsidRDefault="00B85709" w:rsidP="008F3D2D">
            <w:pPr>
              <w:jc w:val="center"/>
            </w:pPr>
            <w:r>
              <w:t>20.8%</w:t>
            </w:r>
          </w:p>
        </w:tc>
        <w:tc>
          <w:tcPr>
            <w:tcW w:w="1904" w:type="dxa"/>
          </w:tcPr>
          <w:p w:rsidR="00B85709" w:rsidRDefault="00B85709" w:rsidP="008F3D2D">
            <w:pPr>
              <w:jc w:val="center"/>
            </w:pPr>
            <w:r>
              <w:t>21.2%</w:t>
            </w:r>
          </w:p>
        </w:tc>
      </w:tr>
      <w:tr w:rsidR="00B85709" w:rsidTr="008F3D2D">
        <w:trPr>
          <w:trHeight w:val="558"/>
        </w:trPr>
        <w:tc>
          <w:tcPr>
            <w:tcW w:w="3369" w:type="dxa"/>
          </w:tcPr>
          <w:p w:rsidR="00B85709" w:rsidRDefault="00B85709" w:rsidP="008F3D2D">
            <w:pPr>
              <w:jc w:val="both"/>
            </w:pPr>
            <w:r>
              <w:t>Percentage of economically active residents self-employed</w:t>
            </w:r>
          </w:p>
        </w:tc>
        <w:tc>
          <w:tcPr>
            <w:tcW w:w="1984" w:type="dxa"/>
          </w:tcPr>
          <w:p w:rsidR="00B85709" w:rsidRDefault="00B85709" w:rsidP="008F3D2D">
            <w:pPr>
              <w:jc w:val="center"/>
            </w:pPr>
            <w:r>
              <w:t>24.3%</w:t>
            </w:r>
          </w:p>
        </w:tc>
        <w:tc>
          <w:tcPr>
            <w:tcW w:w="1985" w:type="dxa"/>
          </w:tcPr>
          <w:p w:rsidR="00B85709" w:rsidRDefault="00B85709" w:rsidP="008F3D2D">
            <w:pPr>
              <w:jc w:val="center"/>
            </w:pPr>
            <w:r>
              <w:t>20.4%</w:t>
            </w:r>
          </w:p>
        </w:tc>
        <w:tc>
          <w:tcPr>
            <w:tcW w:w="1904" w:type="dxa"/>
          </w:tcPr>
          <w:p w:rsidR="00B85709" w:rsidRDefault="00B85709" w:rsidP="008F3D2D">
            <w:pPr>
              <w:jc w:val="center"/>
            </w:pPr>
            <w:r>
              <w:t>15.1%</w:t>
            </w:r>
          </w:p>
        </w:tc>
      </w:tr>
      <w:tr w:rsidR="00B85709" w:rsidTr="008F3D2D">
        <w:trPr>
          <w:trHeight w:val="58"/>
        </w:trPr>
        <w:tc>
          <w:tcPr>
            <w:tcW w:w="3369" w:type="dxa"/>
          </w:tcPr>
          <w:p w:rsidR="00B85709" w:rsidRDefault="00B85709" w:rsidP="008F3D2D">
            <w:pPr>
              <w:jc w:val="both"/>
            </w:pPr>
          </w:p>
        </w:tc>
        <w:tc>
          <w:tcPr>
            <w:tcW w:w="1984" w:type="dxa"/>
          </w:tcPr>
          <w:p w:rsidR="00B85709" w:rsidRDefault="00B85709" w:rsidP="008F3D2D">
            <w:pPr>
              <w:jc w:val="center"/>
            </w:pPr>
          </w:p>
        </w:tc>
        <w:tc>
          <w:tcPr>
            <w:tcW w:w="1985" w:type="dxa"/>
          </w:tcPr>
          <w:p w:rsidR="00B85709" w:rsidRDefault="00B85709" w:rsidP="008F3D2D">
            <w:pPr>
              <w:jc w:val="center"/>
            </w:pPr>
          </w:p>
        </w:tc>
        <w:tc>
          <w:tcPr>
            <w:tcW w:w="1904" w:type="dxa"/>
          </w:tcPr>
          <w:p w:rsidR="00B85709" w:rsidRDefault="00B85709" w:rsidP="008F3D2D">
            <w:pPr>
              <w:jc w:val="center"/>
            </w:pPr>
          </w:p>
        </w:tc>
      </w:tr>
      <w:tr w:rsidR="00B85709" w:rsidTr="008F3D2D">
        <w:tc>
          <w:tcPr>
            <w:tcW w:w="3369" w:type="dxa"/>
          </w:tcPr>
          <w:p w:rsidR="00B85709" w:rsidRDefault="00B85709" w:rsidP="008F3D2D">
            <w:pPr>
              <w:jc w:val="both"/>
            </w:pPr>
            <w:r>
              <w:t>Methods of travel to work:</w:t>
            </w:r>
          </w:p>
        </w:tc>
        <w:tc>
          <w:tcPr>
            <w:tcW w:w="1984" w:type="dxa"/>
          </w:tcPr>
          <w:p w:rsidR="00B85709" w:rsidRDefault="00B85709" w:rsidP="008F3D2D">
            <w:pPr>
              <w:jc w:val="center"/>
            </w:pPr>
          </w:p>
        </w:tc>
        <w:tc>
          <w:tcPr>
            <w:tcW w:w="1985" w:type="dxa"/>
          </w:tcPr>
          <w:p w:rsidR="00B85709" w:rsidRDefault="00B85709" w:rsidP="008F3D2D">
            <w:pPr>
              <w:jc w:val="center"/>
            </w:pPr>
          </w:p>
        </w:tc>
        <w:tc>
          <w:tcPr>
            <w:tcW w:w="1904" w:type="dxa"/>
          </w:tcPr>
          <w:p w:rsidR="00B85709" w:rsidRDefault="00B85709" w:rsidP="008F3D2D">
            <w:pPr>
              <w:jc w:val="center"/>
            </w:pPr>
          </w:p>
        </w:tc>
      </w:tr>
      <w:tr w:rsidR="00B85709" w:rsidTr="008F3D2D">
        <w:tc>
          <w:tcPr>
            <w:tcW w:w="3369" w:type="dxa"/>
          </w:tcPr>
          <w:p w:rsidR="00B85709" w:rsidRDefault="00B85709" w:rsidP="008F3D2D">
            <w:pPr>
              <w:jc w:val="both"/>
            </w:pPr>
            <w:r>
              <w:t>Driving a car or a van</w:t>
            </w:r>
          </w:p>
        </w:tc>
        <w:tc>
          <w:tcPr>
            <w:tcW w:w="1984" w:type="dxa"/>
          </w:tcPr>
          <w:p w:rsidR="00B85709" w:rsidRDefault="00B85709" w:rsidP="008F3D2D">
            <w:pPr>
              <w:jc w:val="center"/>
            </w:pPr>
            <w:r>
              <w:t>67%</w:t>
            </w:r>
          </w:p>
        </w:tc>
        <w:tc>
          <w:tcPr>
            <w:tcW w:w="1985" w:type="dxa"/>
          </w:tcPr>
          <w:p w:rsidR="00B85709" w:rsidRDefault="00B85709" w:rsidP="008F3D2D">
            <w:pPr>
              <w:jc w:val="center"/>
            </w:pPr>
            <w:r>
              <w:t>68%</w:t>
            </w:r>
          </w:p>
        </w:tc>
        <w:tc>
          <w:tcPr>
            <w:tcW w:w="1904" w:type="dxa"/>
          </w:tcPr>
          <w:p w:rsidR="00B85709" w:rsidRDefault="00B85709" w:rsidP="008F3D2D">
            <w:pPr>
              <w:jc w:val="center"/>
            </w:pPr>
            <w:r>
              <w:t>57%</w:t>
            </w:r>
          </w:p>
        </w:tc>
      </w:tr>
      <w:tr w:rsidR="00B85709" w:rsidTr="008F3D2D">
        <w:tc>
          <w:tcPr>
            <w:tcW w:w="3369" w:type="dxa"/>
          </w:tcPr>
          <w:p w:rsidR="00B85709" w:rsidRDefault="00B85709" w:rsidP="008F3D2D">
            <w:pPr>
              <w:jc w:val="both"/>
            </w:pPr>
            <w:r>
              <w:t>Work mainly from home</w:t>
            </w:r>
          </w:p>
        </w:tc>
        <w:tc>
          <w:tcPr>
            <w:tcW w:w="1984" w:type="dxa"/>
          </w:tcPr>
          <w:p w:rsidR="00B85709" w:rsidRDefault="00B85709" w:rsidP="008F3D2D">
            <w:pPr>
              <w:jc w:val="center"/>
            </w:pPr>
            <w:r>
              <w:t>16%</w:t>
            </w:r>
          </w:p>
        </w:tc>
        <w:tc>
          <w:tcPr>
            <w:tcW w:w="1985" w:type="dxa"/>
          </w:tcPr>
          <w:p w:rsidR="00B85709" w:rsidRDefault="00B85709" w:rsidP="008F3D2D">
            <w:pPr>
              <w:jc w:val="center"/>
            </w:pPr>
            <w:r>
              <w:t>10%</w:t>
            </w:r>
          </w:p>
        </w:tc>
        <w:tc>
          <w:tcPr>
            <w:tcW w:w="1904" w:type="dxa"/>
          </w:tcPr>
          <w:p w:rsidR="00B85709" w:rsidRDefault="00B85709" w:rsidP="008F3D2D">
            <w:pPr>
              <w:jc w:val="center"/>
            </w:pPr>
            <w:r>
              <w:t>5%</w:t>
            </w:r>
          </w:p>
        </w:tc>
      </w:tr>
      <w:tr w:rsidR="00B85709" w:rsidTr="008F3D2D">
        <w:tc>
          <w:tcPr>
            <w:tcW w:w="3369" w:type="dxa"/>
          </w:tcPr>
          <w:p w:rsidR="00B85709" w:rsidRDefault="00B85709" w:rsidP="008F3D2D">
            <w:pPr>
              <w:jc w:val="both"/>
            </w:pPr>
            <w:r>
              <w:t>On foot</w:t>
            </w:r>
          </w:p>
        </w:tc>
        <w:tc>
          <w:tcPr>
            <w:tcW w:w="1984" w:type="dxa"/>
          </w:tcPr>
          <w:p w:rsidR="00B85709" w:rsidRDefault="00B85709" w:rsidP="008F3D2D">
            <w:pPr>
              <w:jc w:val="center"/>
            </w:pPr>
            <w:r>
              <w:t>4%</w:t>
            </w:r>
          </w:p>
        </w:tc>
        <w:tc>
          <w:tcPr>
            <w:tcW w:w="1985" w:type="dxa"/>
          </w:tcPr>
          <w:p w:rsidR="00B85709" w:rsidRDefault="00B85709" w:rsidP="008F3D2D">
            <w:pPr>
              <w:jc w:val="center"/>
            </w:pPr>
            <w:r>
              <w:t>10%</w:t>
            </w:r>
          </w:p>
        </w:tc>
        <w:tc>
          <w:tcPr>
            <w:tcW w:w="1904" w:type="dxa"/>
          </w:tcPr>
          <w:p w:rsidR="00B85709" w:rsidRDefault="00B85709" w:rsidP="008F3D2D">
            <w:pPr>
              <w:jc w:val="center"/>
            </w:pPr>
            <w:r>
              <w:t>11%</w:t>
            </w:r>
          </w:p>
        </w:tc>
      </w:tr>
      <w:tr w:rsidR="00B85709" w:rsidTr="008F3D2D">
        <w:tc>
          <w:tcPr>
            <w:tcW w:w="3369" w:type="dxa"/>
          </w:tcPr>
          <w:p w:rsidR="00B85709" w:rsidRDefault="00B85709" w:rsidP="008F3D2D">
            <w:pPr>
              <w:jc w:val="both"/>
            </w:pPr>
            <w:r>
              <w:t>Train</w:t>
            </w:r>
          </w:p>
        </w:tc>
        <w:tc>
          <w:tcPr>
            <w:tcW w:w="1984" w:type="dxa"/>
          </w:tcPr>
          <w:p w:rsidR="00B85709" w:rsidRDefault="00B85709" w:rsidP="008F3D2D">
            <w:pPr>
              <w:jc w:val="center"/>
            </w:pPr>
            <w:r>
              <w:t>4%</w:t>
            </w:r>
          </w:p>
        </w:tc>
        <w:tc>
          <w:tcPr>
            <w:tcW w:w="1985" w:type="dxa"/>
          </w:tcPr>
          <w:p w:rsidR="00B85709" w:rsidRDefault="00B85709" w:rsidP="008F3D2D">
            <w:pPr>
              <w:jc w:val="center"/>
            </w:pPr>
            <w:r>
              <w:t>2%</w:t>
            </w:r>
          </w:p>
        </w:tc>
        <w:tc>
          <w:tcPr>
            <w:tcW w:w="1904" w:type="dxa"/>
          </w:tcPr>
          <w:p w:rsidR="00B85709" w:rsidRDefault="00B85709" w:rsidP="008F3D2D">
            <w:pPr>
              <w:jc w:val="center"/>
            </w:pPr>
            <w:r>
              <w:t>5%</w:t>
            </w:r>
          </w:p>
        </w:tc>
      </w:tr>
      <w:tr w:rsidR="00B85709" w:rsidTr="008F3D2D">
        <w:tc>
          <w:tcPr>
            <w:tcW w:w="3369" w:type="dxa"/>
          </w:tcPr>
          <w:p w:rsidR="00B85709" w:rsidRDefault="00B85709" w:rsidP="008F3D2D">
            <w:pPr>
              <w:jc w:val="both"/>
            </w:pPr>
            <w:r>
              <w:t>Bus or coach</w:t>
            </w:r>
          </w:p>
        </w:tc>
        <w:tc>
          <w:tcPr>
            <w:tcW w:w="1984" w:type="dxa"/>
          </w:tcPr>
          <w:p w:rsidR="00B85709" w:rsidRDefault="00B85709" w:rsidP="008F3D2D">
            <w:pPr>
              <w:jc w:val="center"/>
            </w:pPr>
            <w:r>
              <w:t>1%</w:t>
            </w:r>
          </w:p>
        </w:tc>
        <w:tc>
          <w:tcPr>
            <w:tcW w:w="1985" w:type="dxa"/>
          </w:tcPr>
          <w:p w:rsidR="00B85709" w:rsidRDefault="00B85709" w:rsidP="008F3D2D">
            <w:pPr>
              <w:jc w:val="center"/>
            </w:pPr>
            <w:r>
              <w:t>2%</w:t>
            </w:r>
          </w:p>
        </w:tc>
        <w:tc>
          <w:tcPr>
            <w:tcW w:w="1904" w:type="dxa"/>
          </w:tcPr>
          <w:p w:rsidR="00B85709" w:rsidRDefault="00B85709" w:rsidP="008F3D2D">
            <w:pPr>
              <w:jc w:val="center"/>
            </w:pPr>
            <w:r>
              <w:t>7%</w:t>
            </w:r>
          </w:p>
        </w:tc>
      </w:tr>
      <w:tr w:rsidR="00B85709" w:rsidTr="008F3D2D">
        <w:tc>
          <w:tcPr>
            <w:tcW w:w="3369" w:type="dxa"/>
          </w:tcPr>
          <w:p w:rsidR="00B85709" w:rsidRDefault="00B85709" w:rsidP="008F3D2D">
            <w:pPr>
              <w:jc w:val="both"/>
            </w:pPr>
            <w:r>
              <w:t>By bicycle</w:t>
            </w:r>
          </w:p>
        </w:tc>
        <w:tc>
          <w:tcPr>
            <w:tcW w:w="1984" w:type="dxa"/>
          </w:tcPr>
          <w:p w:rsidR="00B85709" w:rsidRDefault="00B85709" w:rsidP="008F3D2D">
            <w:pPr>
              <w:jc w:val="center"/>
            </w:pPr>
            <w:r>
              <w:t>2%</w:t>
            </w:r>
          </w:p>
        </w:tc>
        <w:tc>
          <w:tcPr>
            <w:tcW w:w="1985" w:type="dxa"/>
          </w:tcPr>
          <w:p w:rsidR="00B85709" w:rsidRDefault="00B85709" w:rsidP="008F3D2D">
            <w:pPr>
              <w:jc w:val="center"/>
            </w:pPr>
            <w:r>
              <w:t>2%</w:t>
            </w:r>
          </w:p>
        </w:tc>
        <w:tc>
          <w:tcPr>
            <w:tcW w:w="1904" w:type="dxa"/>
          </w:tcPr>
          <w:p w:rsidR="00B85709" w:rsidRDefault="00B85709" w:rsidP="008F3D2D">
            <w:pPr>
              <w:jc w:val="center"/>
            </w:pPr>
            <w:r>
              <w:t>3%</w:t>
            </w:r>
          </w:p>
        </w:tc>
      </w:tr>
    </w:tbl>
    <w:p w:rsidR="00B85709" w:rsidRDefault="00B85709" w:rsidP="00B85709">
      <w:pPr>
        <w:jc w:val="both"/>
      </w:pPr>
      <w:r>
        <w:t xml:space="preserve">  </w:t>
      </w:r>
    </w:p>
    <w:p w:rsidR="00B85709" w:rsidRDefault="00B85709" w:rsidP="00B85709">
      <w:r>
        <w:t>Clearly Wilmcote has a higher percentage of self-employed than either the rest of Stratford District or England as a whole, and this explains the high numbers working from home.  Other methods of travel to work reflect the relatively good train service to a station in the village, and the relatively poor bus service serving the neighbourhood.</w:t>
      </w:r>
    </w:p>
    <w:p w:rsidR="00B85709" w:rsidRDefault="00B85709" w:rsidP="00B85709">
      <w:r>
        <w:t xml:space="preserve">Whilst we have no figures for where Wilmcote residents work, we see no reason that commuting patterns should vary significantly from those in the wider Stratford District – the 2009 Stratford </w:t>
      </w:r>
      <w:r>
        <w:lastRenderedPageBreak/>
        <w:t>District review stated that 6000 people commuted daily from Stratford District to Warwick District and half that number in the opposite direction.</w:t>
      </w:r>
    </w:p>
    <w:p w:rsidR="008D5E2D" w:rsidRDefault="00B85709" w:rsidP="008D5E2D">
      <w:pPr>
        <w:ind w:left="1418" w:firstLine="22"/>
        <w:rPr>
          <w:sz w:val="32"/>
          <w:szCs w:val="32"/>
        </w:rPr>
      </w:pPr>
      <w:r w:rsidRPr="008D5E2D">
        <w:rPr>
          <w:sz w:val="32"/>
          <w:szCs w:val="32"/>
        </w:rPr>
        <w:t xml:space="preserve">With the availability </w:t>
      </w:r>
      <w:r w:rsidR="008D5E2D">
        <w:rPr>
          <w:sz w:val="32"/>
          <w:szCs w:val="32"/>
        </w:rPr>
        <w:t>of the council tax d</w:t>
      </w:r>
      <w:r w:rsidRPr="008D5E2D">
        <w:rPr>
          <w:sz w:val="32"/>
          <w:szCs w:val="32"/>
        </w:rPr>
        <w:t>ata</w:t>
      </w:r>
      <w:r w:rsidR="008D5E2D">
        <w:rPr>
          <w:sz w:val="32"/>
          <w:szCs w:val="32"/>
        </w:rPr>
        <w:t>, an additional analysis of the dwellings by tax band (and type) was done and the report follows:</w:t>
      </w:r>
    </w:p>
    <w:p w:rsidR="008D5E2D" w:rsidRDefault="008D5E2D" w:rsidP="008D5E2D">
      <w:pPr>
        <w:pStyle w:val="Heading1"/>
        <w:jc w:val="center"/>
      </w:pPr>
      <w:r>
        <w:t>WNPG private housing sector</w:t>
      </w:r>
    </w:p>
    <w:p w:rsidR="008D5E2D" w:rsidRDefault="008D5E2D" w:rsidP="008D5E2D">
      <w:pPr>
        <w:pStyle w:val="Heading2"/>
        <w:jc w:val="center"/>
      </w:pPr>
    </w:p>
    <w:p w:rsidR="008D5E2D" w:rsidRPr="00D05803" w:rsidRDefault="008D5E2D" w:rsidP="008D5E2D">
      <w:pPr>
        <w:pStyle w:val="Heading2"/>
        <w:jc w:val="center"/>
      </w:pPr>
      <w:r>
        <w:t>Further data</w:t>
      </w:r>
    </w:p>
    <w:p w:rsidR="008D5E2D" w:rsidRDefault="008D5E2D" w:rsidP="008D5E2D"/>
    <w:p w:rsidR="008D5E2D" w:rsidRDefault="008D5E2D" w:rsidP="008D5E2D">
      <w:pPr>
        <w:spacing w:line="240" w:lineRule="auto"/>
      </w:pPr>
    </w:p>
    <w:p w:rsidR="008D5E2D" w:rsidRDefault="008D5E2D" w:rsidP="008D5E2D">
      <w:pPr>
        <w:spacing w:line="240" w:lineRule="auto"/>
      </w:pPr>
      <w:r>
        <w:t>1. Dwellings by council tax band (including boundary changes):</w:t>
      </w:r>
    </w:p>
    <w:p w:rsidR="008D5E2D" w:rsidRDefault="008D5E2D" w:rsidP="008D5E2D">
      <w:r>
        <w:tab/>
        <w:t>(</w:t>
      </w:r>
      <w:proofErr w:type="gramStart"/>
      <w:r>
        <w:t>source  inc</w:t>
      </w:r>
      <w:proofErr w:type="gramEnd"/>
      <w:r>
        <w:t>. addresses but not names – SDC)</w:t>
      </w:r>
    </w:p>
    <w:p w:rsidR="008D5E2D" w:rsidRDefault="008D5E2D" w:rsidP="008D5E2D">
      <w:pPr>
        <w:spacing w:line="240" w:lineRule="auto"/>
      </w:pPr>
      <w:r>
        <w:tab/>
        <w:t>A</w:t>
      </w:r>
      <w:r>
        <w:tab/>
      </w:r>
      <w:r>
        <w:tab/>
        <w:t>78</w:t>
      </w:r>
    </w:p>
    <w:p w:rsidR="008D5E2D" w:rsidRDefault="008D5E2D" w:rsidP="008D5E2D">
      <w:pPr>
        <w:spacing w:line="240" w:lineRule="auto"/>
      </w:pPr>
      <w:r>
        <w:tab/>
        <w:t>B</w:t>
      </w:r>
      <w:r>
        <w:tab/>
      </w:r>
      <w:r>
        <w:tab/>
        <w:t>35</w:t>
      </w:r>
    </w:p>
    <w:p w:rsidR="008D5E2D" w:rsidRDefault="008D5E2D" w:rsidP="008D5E2D">
      <w:pPr>
        <w:spacing w:line="240" w:lineRule="auto"/>
      </w:pPr>
      <w:r>
        <w:tab/>
        <w:t>C</w:t>
      </w:r>
      <w:r>
        <w:tab/>
      </w:r>
      <w:r>
        <w:tab/>
        <w:t>123</w:t>
      </w:r>
    </w:p>
    <w:p w:rsidR="008D5E2D" w:rsidRDefault="008D5E2D" w:rsidP="008D5E2D">
      <w:pPr>
        <w:spacing w:line="240" w:lineRule="auto"/>
      </w:pPr>
      <w:r>
        <w:tab/>
        <w:t>D</w:t>
      </w:r>
      <w:r>
        <w:tab/>
      </w:r>
      <w:r>
        <w:tab/>
        <w:t>58</w:t>
      </w:r>
    </w:p>
    <w:p w:rsidR="008D5E2D" w:rsidRDefault="008D5E2D" w:rsidP="008D5E2D">
      <w:pPr>
        <w:spacing w:line="240" w:lineRule="auto"/>
      </w:pPr>
      <w:r>
        <w:tab/>
        <w:t>E</w:t>
      </w:r>
      <w:r>
        <w:tab/>
      </w:r>
      <w:r>
        <w:tab/>
        <w:t>126</w:t>
      </w:r>
    </w:p>
    <w:p w:rsidR="008D5E2D" w:rsidRDefault="008D5E2D" w:rsidP="008D5E2D">
      <w:pPr>
        <w:spacing w:line="240" w:lineRule="auto"/>
      </w:pPr>
      <w:r>
        <w:tab/>
        <w:t>F</w:t>
      </w:r>
      <w:r>
        <w:tab/>
      </w:r>
      <w:r>
        <w:tab/>
        <w:t>32</w:t>
      </w:r>
    </w:p>
    <w:p w:rsidR="008D5E2D" w:rsidRDefault="008D5E2D" w:rsidP="008D5E2D">
      <w:pPr>
        <w:spacing w:line="240" w:lineRule="auto"/>
      </w:pPr>
      <w:r>
        <w:tab/>
        <w:t>G</w:t>
      </w:r>
      <w:r>
        <w:tab/>
      </w:r>
      <w:r>
        <w:tab/>
        <w:t>47</w:t>
      </w:r>
    </w:p>
    <w:p w:rsidR="008D5E2D" w:rsidRDefault="008D5E2D" w:rsidP="008D5E2D">
      <w:pPr>
        <w:spacing w:line="240" w:lineRule="auto"/>
      </w:pPr>
      <w:r>
        <w:tab/>
        <w:t>H</w:t>
      </w:r>
      <w:r>
        <w:tab/>
      </w:r>
      <w:r>
        <w:tab/>
        <w:t>13</w:t>
      </w:r>
    </w:p>
    <w:p w:rsidR="008D5E2D" w:rsidRDefault="008D5E2D" w:rsidP="008D5E2D">
      <w:pPr>
        <w:spacing w:line="240" w:lineRule="auto"/>
      </w:pPr>
      <w:r>
        <w:tab/>
        <w:t>Total</w:t>
      </w:r>
      <w:r>
        <w:tab/>
      </w:r>
      <w:r>
        <w:tab/>
        <w:t>512</w:t>
      </w:r>
    </w:p>
    <w:p w:rsidR="008D5E2D" w:rsidRDefault="008D5E2D" w:rsidP="008D5E2D">
      <w:pPr>
        <w:spacing w:line="240" w:lineRule="auto"/>
      </w:pPr>
    </w:p>
    <w:p w:rsidR="008D5E2D" w:rsidRDefault="008D5E2D" w:rsidP="008D5E2D">
      <w:pPr>
        <w:spacing w:line="240" w:lineRule="auto"/>
      </w:pPr>
      <w:r>
        <w:t>2. Dwellings by type (including boundary changes):</w:t>
      </w:r>
    </w:p>
    <w:p w:rsidR="008D5E2D" w:rsidRDefault="008D5E2D" w:rsidP="008D5E2D">
      <w:pPr>
        <w:spacing w:line="240" w:lineRule="auto"/>
      </w:pPr>
      <w:r>
        <w:tab/>
        <w:t>(</w:t>
      </w:r>
      <w:proofErr w:type="gramStart"/>
      <w:r>
        <w:t>source</w:t>
      </w:r>
      <w:proofErr w:type="gramEnd"/>
      <w:r>
        <w:t xml:space="preserve"> 2011 Census updated to Jan 2013)</w:t>
      </w:r>
    </w:p>
    <w:p w:rsidR="008D5E2D" w:rsidRDefault="008D5E2D" w:rsidP="008D5E2D">
      <w:pPr>
        <w:spacing w:line="240" w:lineRule="auto"/>
      </w:pPr>
      <w:r>
        <w:tab/>
        <w:t>Detached house or bungalow</w:t>
      </w:r>
      <w:r>
        <w:tab/>
      </w:r>
      <w:r>
        <w:tab/>
        <w:t>274</w:t>
      </w:r>
    </w:p>
    <w:p w:rsidR="008D5E2D" w:rsidRDefault="008D5E2D" w:rsidP="008D5E2D">
      <w:pPr>
        <w:spacing w:line="240" w:lineRule="auto"/>
      </w:pPr>
      <w:r>
        <w:tab/>
        <w:t>Semi-detached house or bungalow</w:t>
      </w:r>
      <w:r>
        <w:tab/>
        <w:t>109</w:t>
      </w:r>
    </w:p>
    <w:p w:rsidR="008D5E2D" w:rsidRDefault="008D5E2D" w:rsidP="008D5E2D">
      <w:pPr>
        <w:spacing w:line="240" w:lineRule="auto"/>
      </w:pPr>
      <w:r>
        <w:tab/>
        <w:t>Terraced house or bungalow</w:t>
      </w:r>
      <w:r>
        <w:tab/>
      </w:r>
      <w:r>
        <w:tab/>
        <w:t>89</w:t>
      </w:r>
    </w:p>
    <w:p w:rsidR="008D5E2D" w:rsidRDefault="008D5E2D" w:rsidP="008D5E2D">
      <w:pPr>
        <w:spacing w:line="240" w:lineRule="auto"/>
      </w:pPr>
      <w:r>
        <w:tab/>
        <w:t>Purpose-built apartment</w:t>
      </w:r>
      <w:r>
        <w:tab/>
      </w:r>
      <w:r>
        <w:tab/>
        <w:t>18</w:t>
      </w:r>
    </w:p>
    <w:p w:rsidR="008D5E2D" w:rsidRDefault="008D5E2D" w:rsidP="008D5E2D">
      <w:pPr>
        <w:spacing w:line="240" w:lineRule="auto"/>
      </w:pPr>
      <w:r>
        <w:tab/>
        <w:t>Apartment in commercial building</w:t>
      </w:r>
      <w:r>
        <w:tab/>
        <w:t>2</w:t>
      </w:r>
    </w:p>
    <w:p w:rsidR="008D5E2D" w:rsidRDefault="008D5E2D" w:rsidP="008D5E2D">
      <w:pPr>
        <w:spacing w:line="240" w:lineRule="auto"/>
      </w:pPr>
      <w:r>
        <w:lastRenderedPageBreak/>
        <w:tab/>
        <w:t>Caravan or mobile structure</w:t>
      </w:r>
      <w:r>
        <w:tab/>
      </w:r>
      <w:r>
        <w:tab/>
        <w:t>60</w:t>
      </w:r>
    </w:p>
    <w:p w:rsidR="008D5E2D" w:rsidRDefault="008D5E2D" w:rsidP="008D5E2D">
      <w:pPr>
        <w:spacing w:line="240" w:lineRule="auto"/>
        <w:ind w:left="720" w:hanging="720"/>
      </w:pPr>
      <w:r>
        <w:tab/>
        <w:t>Total</w:t>
      </w:r>
      <w:r>
        <w:tab/>
      </w:r>
      <w:r>
        <w:tab/>
      </w:r>
      <w:r>
        <w:tab/>
      </w:r>
      <w:r>
        <w:tab/>
      </w:r>
      <w:r>
        <w:tab/>
        <w:t xml:space="preserve">552 (a number of caravans are on a site which is                                </w:t>
      </w:r>
    </w:p>
    <w:p w:rsidR="008D5E2D" w:rsidRDefault="008D5E2D" w:rsidP="008D5E2D">
      <w:pPr>
        <w:spacing w:line="240" w:lineRule="auto"/>
        <w:ind w:left="720" w:hanging="720"/>
      </w:pPr>
      <w:r>
        <w:t xml:space="preserve">                                                                                                           </w:t>
      </w:r>
      <w:proofErr w:type="gramStart"/>
      <w:r>
        <w:t>counted</w:t>
      </w:r>
      <w:proofErr w:type="gramEnd"/>
      <w:r>
        <w:t xml:space="preserve"> as 1 for council tax purposes)</w:t>
      </w:r>
    </w:p>
    <w:p w:rsidR="008D5E2D" w:rsidRDefault="008D5E2D" w:rsidP="008D5E2D">
      <w:pPr>
        <w:spacing w:line="240" w:lineRule="auto"/>
        <w:jc w:val="right"/>
      </w:pPr>
    </w:p>
    <w:p w:rsidR="008D5E2D" w:rsidRDefault="008D5E2D" w:rsidP="008D5E2D">
      <w:pPr>
        <w:spacing w:line="240" w:lineRule="auto"/>
        <w:jc w:val="right"/>
      </w:pPr>
    </w:p>
    <w:p w:rsidR="008D5E2D" w:rsidRDefault="008D5E2D" w:rsidP="008D5E2D">
      <w:pPr>
        <w:spacing w:line="240" w:lineRule="auto"/>
        <w:jc w:val="right"/>
      </w:pPr>
    </w:p>
    <w:p w:rsidR="008D5E2D" w:rsidRDefault="008D5E2D" w:rsidP="008D5E2D">
      <w:pPr>
        <w:spacing w:line="240" w:lineRule="auto"/>
      </w:pPr>
      <w:r>
        <w:t xml:space="preserve">3. New Dwellings. </w:t>
      </w:r>
    </w:p>
    <w:p w:rsidR="008D5E2D" w:rsidRDefault="008D5E2D" w:rsidP="008D5E2D">
      <w:pPr>
        <w:spacing w:line="240" w:lineRule="auto"/>
        <w:ind w:left="720"/>
      </w:pPr>
      <w:r>
        <w:t>Using planning approvals from the SDC website, I had previously estimated that there have been only 8 net new dwellings approved in the last 5 years (and another 7 which have replaced existing dwellings), and none of the 8 have been built to date.</w:t>
      </w:r>
    </w:p>
    <w:p w:rsidR="008D5E2D" w:rsidRDefault="008D5E2D" w:rsidP="008D5E2D">
      <w:pPr>
        <w:spacing w:line="240" w:lineRule="auto"/>
        <w:ind w:left="720"/>
      </w:pPr>
      <w:r>
        <w:t>Further useful data of the increase in housing stock comes from the dates when “new” properties start paying council tax (although this does not show the net increase as data on replaced dwellings is not available). This shows that 114 properties have been added since the start of 1994. Of these, 83 had been added by the start of 2001, and a further 20 were added in the next eight years; in the last five years 11 have been added (by year 1, 2, 3, 1, and 4) although in the last 3½ years the number of taxed dwellings only rose by 7.</w:t>
      </w:r>
    </w:p>
    <w:p w:rsidR="008D5E2D" w:rsidRDefault="008D5E2D" w:rsidP="008D5E2D">
      <w:pPr>
        <w:spacing w:line="240" w:lineRule="auto"/>
        <w:ind w:left="720"/>
      </w:pPr>
      <w:r>
        <w:t>This appears to show that, given a requirement of adding 75 (net) dwellings in the 20 years to April 2031, we have been building at about half the required rate over the last thirteen years; however, if we take account of the previous seven years, then we have probably exceeded the future required net rate of dwelling stock growth over the last 20 years.</w:t>
      </w:r>
    </w:p>
    <w:p w:rsidR="00B514F2" w:rsidRDefault="008D5E2D" w:rsidP="008D5E2D">
      <w:pPr>
        <w:ind w:left="1418" w:firstLine="22"/>
        <w:rPr>
          <w:sz w:val="32"/>
          <w:szCs w:val="32"/>
        </w:rPr>
      </w:pPr>
      <w:r>
        <w:rPr>
          <w:sz w:val="32"/>
          <w:szCs w:val="32"/>
        </w:rPr>
        <w:t xml:space="preserve">In an effort to get a feel of demand for additional housing in the parish, ten estate agency and rental businesses in Stratford were visited (Peter Clarke &amp; Co, Edwards, Connells, Victoria </w:t>
      </w:r>
      <w:proofErr w:type="spellStart"/>
      <w:r>
        <w:rPr>
          <w:sz w:val="32"/>
          <w:szCs w:val="32"/>
        </w:rPr>
        <w:t>Jeffs</w:t>
      </w:r>
      <w:proofErr w:type="spellEnd"/>
      <w:r>
        <w:rPr>
          <w:sz w:val="32"/>
          <w:szCs w:val="32"/>
        </w:rPr>
        <w:t xml:space="preserve">, </w:t>
      </w:r>
      <w:proofErr w:type="spellStart"/>
      <w:r>
        <w:rPr>
          <w:sz w:val="32"/>
          <w:szCs w:val="32"/>
        </w:rPr>
        <w:t>Westbridge</w:t>
      </w:r>
      <w:proofErr w:type="spellEnd"/>
      <w:r>
        <w:rPr>
          <w:sz w:val="32"/>
          <w:szCs w:val="32"/>
        </w:rPr>
        <w:t xml:space="preserve"> &amp; Co, Parker</w:t>
      </w:r>
      <w:r w:rsidR="00B514F2">
        <w:rPr>
          <w:sz w:val="32"/>
          <w:szCs w:val="32"/>
        </w:rPr>
        <w:t xml:space="preserve"> Mercer &amp; </w:t>
      </w:r>
      <w:proofErr w:type="spellStart"/>
      <w:r w:rsidR="00B514F2">
        <w:rPr>
          <w:sz w:val="32"/>
          <w:szCs w:val="32"/>
        </w:rPr>
        <w:t>Durnian</w:t>
      </w:r>
      <w:proofErr w:type="spellEnd"/>
      <w:r w:rsidR="00B514F2">
        <w:rPr>
          <w:sz w:val="32"/>
          <w:szCs w:val="32"/>
        </w:rPr>
        <w:t xml:space="preserve">, John Shepherd Vaughan, </w:t>
      </w:r>
      <w:proofErr w:type="spellStart"/>
      <w:r w:rsidR="00B514F2">
        <w:rPr>
          <w:sz w:val="32"/>
          <w:szCs w:val="32"/>
        </w:rPr>
        <w:t>Bigwood</w:t>
      </w:r>
      <w:proofErr w:type="spellEnd"/>
      <w:r w:rsidR="00B514F2">
        <w:rPr>
          <w:sz w:val="32"/>
          <w:szCs w:val="32"/>
        </w:rPr>
        <w:t xml:space="preserve">, Tim Cox, </w:t>
      </w:r>
      <w:proofErr w:type="spellStart"/>
      <w:r w:rsidR="00B514F2">
        <w:rPr>
          <w:sz w:val="32"/>
          <w:szCs w:val="32"/>
        </w:rPr>
        <w:t>Sothebys</w:t>
      </w:r>
      <w:proofErr w:type="spellEnd"/>
      <w:r w:rsidR="00B514F2">
        <w:rPr>
          <w:sz w:val="32"/>
          <w:szCs w:val="32"/>
        </w:rPr>
        <w:t>) and were asked about demand for property in the parish. The answers were analysed and the relevant information was reported below:</w:t>
      </w:r>
    </w:p>
    <w:p w:rsidR="00B514F2" w:rsidRDefault="00B514F2" w:rsidP="00B514F2">
      <w:pPr>
        <w:pStyle w:val="Heading1"/>
        <w:jc w:val="center"/>
      </w:pPr>
      <w:r>
        <w:t>WNPG private housing sector</w:t>
      </w:r>
    </w:p>
    <w:p w:rsidR="00B514F2" w:rsidRDefault="00B514F2" w:rsidP="00B514F2">
      <w:pPr>
        <w:pStyle w:val="Heading2"/>
        <w:jc w:val="center"/>
      </w:pPr>
    </w:p>
    <w:p w:rsidR="00B514F2" w:rsidRPr="00D05803" w:rsidRDefault="00B514F2" w:rsidP="00B514F2">
      <w:pPr>
        <w:pStyle w:val="Heading2"/>
        <w:jc w:val="center"/>
      </w:pPr>
      <w:r>
        <w:t>Further data 2</w:t>
      </w:r>
    </w:p>
    <w:p w:rsidR="00B514F2" w:rsidRDefault="00B514F2" w:rsidP="00B514F2"/>
    <w:p w:rsidR="00B514F2" w:rsidRDefault="00B514F2" w:rsidP="00B514F2">
      <w:pPr>
        <w:spacing w:line="240" w:lineRule="auto"/>
      </w:pPr>
    </w:p>
    <w:p w:rsidR="00B514F2" w:rsidRDefault="00B514F2" w:rsidP="00B514F2">
      <w:pPr>
        <w:spacing w:line="240" w:lineRule="auto"/>
        <w:jc w:val="center"/>
        <w:rPr>
          <w:b/>
          <w:u w:val="single"/>
        </w:rPr>
      </w:pPr>
      <w:r w:rsidRPr="00915885">
        <w:rPr>
          <w:b/>
          <w:u w:val="single"/>
        </w:rPr>
        <w:lastRenderedPageBreak/>
        <w:t>Demand for private housing in Wilmcote Parish</w:t>
      </w:r>
    </w:p>
    <w:p w:rsidR="00B514F2" w:rsidRDefault="00B514F2" w:rsidP="00B514F2">
      <w:pPr>
        <w:spacing w:line="240" w:lineRule="auto"/>
        <w:jc w:val="center"/>
        <w:rPr>
          <w:b/>
          <w:u w:val="single"/>
        </w:rPr>
      </w:pPr>
    </w:p>
    <w:p w:rsidR="00B514F2" w:rsidRDefault="00B514F2" w:rsidP="00B514F2">
      <w:pPr>
        <w:spacing w:line="240" w:lineRule="auto"/>
      </w:pPr>
      <w:r>
        <w:t>Ten businesses in Stratford, which deal with the sale and rental of private domestic property, were visited, to try and get some feel for the demand for new property in the parish.  The major points of note are as follows:</w:t>
      </w:r>
    </w:p>
    <w:p w:rsidR="00B514F2" w:rsidRDefault="00B514F2" w:rsidP="00B514F2">
      <w:pPr>
        <w:pStyle w:val="ListParagraph"/>
        <w:numPr>
          <w:ilvl w:val="0"/>
          <w:numId w:val="3"/>
        </w:numPr>
        <w:spacing w:line="240" w:lineRule="auto"/>
      </w:pPr>
      <w:r>
        <w:t>9 out of 10 businesses said that at least one potential customer specifically mentioned that they would like to live in Wilmcote.</w:t>
      </w:r>
    </w:p>
    <w:p w:rsidR="00B514F2" w:rsidRDefault="00B514F2" w:rsidP="00B514F2">
      <w:pPr>
        <w:pStyle w:val="ListParagraph"/>
        <w:numPr>
          <w:ilvl w:val="0"/>
          <w:numId w:val="3"/>
        </w:numPr>
        <w:spacing w:line="240" w:lineRule="auto"/>
      </w:pPr>
      <w:r>
        <w:t>In general, all 10 agreed that demand exceeds supply for people wishing to buy properties in the villages around or north of Stratford; the most commonly mentioned villages, as being popular, were Wilmcote, Snitterfield and Welford.</w:t>
      </w:r>
    </w:p>
    <w:p w:rsidR="00B514F2" w:rsidRDefault="00B514F2" w:rsidP="00B514F2">
      <w:pPr>
        <w:pStyle w:val="ListParagraph"/>
        <w:numPr>
          <w:ilvl w:val="0"/>
          <w:numId w:val="3"/>
        </w:numPr>
        <w:spacing w:line="240" w:lineRule="auto"/>
      </w:pPr>
      <w:r>
        <w:t>In general, it is thought that people like to live in these villages because they believe they are good places to live, not because they have a need to live there (such as working there).</w:t>
      </w:r>
    </w:p>
    <w:p w:rsidR="00B514F2" w:rsidRDefault="00B514F2" w:rsidP="00B514F2">
      <w:pPr>
        <w:pStyle w:val="ListParagraph"/>
        <w:numPr>
          <w:ilvl w:val="0"/>
          <w:numId w:val="3"/>
        </w:numPr>
        <w:spacing w:line="240" w:lineRule="auto"/>
      </w:pPr>
      <w:r>
        <w:t>The train station and the school both got one mention as being reasons why someone wanted to move to/stay in Wilmcote, and the villages north of Stratford (Wilmcote, Snitterfield and Bearley) were favoured due to commutability and closeness to Stratford.</w:t>
      </w:r>
    </w:p>
    <w:p w:rsidR="00B514F2" w:rsidRPr="00915885" w:rsidRDefault="00B514F2" w:rsidP="00B514F2">
      <w:pPr>
        <w:pStyle w:val="ListParagraph"/>
        <w:numPr>
          <w:ilvl w:val="0"/>
          <w:numId w:val="3"/>
        </w:numPr>
        <w:spacing w:line="240" w:lineRule="auto"/>
      </w:pPr>
      <w:r>
        <w:t>No one was able to put a number or range on the excess demand, but everyone said the demand was generally for particular properties, and the property was normally more important than the particular village it was in. This seemed to apply to rented as well as purchased properties.</w:t>
      </w:r>
    </w:p>
    <w:p w:rsidR="00B85709" w:rsidRPr="008D5E2D" w:rsidRDefault="00B85709" w:rsidP="008D5E2D">
      <w:pPr>
        <w:ind w:left="1418" w:firstLine="22"/>
        <w:rPr>
          <w:sz w:val="32"/>
          <w:szCs w:val="32"/>
        </w:rPr>
      </w:pPr>
      <w:r w:rsidRPr="008D5E2D">
        <w:rPr>
          <w:sz w:val="32"/>
          <w:szCs w:val="32"/>
        </w:rPr>
        <w:tab/>
      </w:r>
      <w:r w:rsidRPr="008D5E2D">
        <w:rPr>
          <w:sz w:val="32"/>
          <w:szCs w:val="32"/>
        </w:rPr>
        <w:tab/>
      </w:r>
    </w:p>
    <w:p w:rsidR="000C0024" w:rsidRDefault="000C0024" w:rsidP="008D5E2D">
      <w:pPr>
        <w:pStyle w:val="ListParagraph"/>
        <w:ind w:left="1418" w:firstLine="22"/>
        <w:rPr>
          <w:sz w:val="32"/>
          <w:szCs w:val="32"/>
        </w:rPr>
      </w:pPr>
    </w:p>
    <w:p w:rsidR="00686FC8" w:rsidRPr="00454D66" w:rsidRDefault="00686FC8" w:rsidP="00686FC8">
      <w:pPr>
        <w:pStyle w:val="ListParagraph"/>
        <w:numPr>
          <w:ilvl w:val="0"/>
          <w:numId w:val="1"/>
        </w:numPr>
        <w:rPr>
          <w:sz w:val="32"/>
          <w:szCs w:val="32"/>
        </w:rPr>
      </w:pPr>
      <w:r w:rsidRPr="00454D66">
        <w:rPr>
          <w:sz w:val="32"/>
          <w:szCs w:val="32"/>
        </w:rPr>
        <w:t>Conclusion</w:t>
      </w:r>
    </w:p>
    <w:p w:rsidR="00A36C11" w:rsidRPr="00454D66" w:rsidRDefault="00A36C11" w:rsidP="00686FC8">
      <w:pPr>
        <w:pStyle w:val="ListParagraph"/>
        <w:numPr>
          <w:ilvl w:val="1"/>
          <w:numId w:val="1"/>
        </w:numPr>
        <w:rPr>
          <w:sz w:val="32"/>
          <w:szCs w:val="32"/>
        </w:rPr>
      </w:pPr>
      <w:r w:rsidRPr="00454D66">
        <w:rPr>
          <w:sz w:val="32"/>
          <w:szCs w:val="32"/>
        </w:rPr>
        <w:t xml:space="preserve"> K</w:t>
      </w:r>
      <w:r w:rsidR="00686FC8" w:rsidRPr="00454D66">
        <w:rPr>
          <w:sz w:val="32"/>
          <w:szCs w:val="32"/>
        </w:rPr>
        <w:t>ey issues o</w:t>
      </w:r>
      <w:r w:rsidRPr="00454D66">
        <w:rPr>
          <w:sz w:val="32"/>
          <w:szCs w:val="32"/>
        </w:rPr>
        <w:t>f I</w:t>
      </w:r>
      <w:r w:rsidR="00686FC8" w:rsidRPr="00454D66">
        <w:rPr>
          <w:sz w:val="32"/>
          <w:szCs w:val="32"/>
        </w:rPr>
        <w:t>mportance</w:t>
      </w:r>
      <w:r w:rsidRPr="00454D66">
        <w:rPr>
          <w:sz w:val="32"/>
          <w:szCs w:val="32"/>
        </w:rPr>
        <w:t xml:space="preserve">- </w:t>
      </w:r>
    </w:p>
    <w:p w:rsidR="00AD4B44" w:rsidRDefault="00AD4B44" w:rsidP="00A36C11">
      <w:pPr>
        <w:pStyle w:val="ListParagraph"/>
        <w:ind w:left="1440"/>
        <w:rPr>
          <w:sz w:val="32"/>
          <w:szCs w:val="32"/>
        </w:rPr>
      </w:pPr>
      <w:proofErr w:type="gramStart"/>
      <w:r>
        <w:rPr>
          <w:sz w:val="32"/>
          <w:szCs w:val="32"/>
        </w:rPr>
        <w:t>The number of dwellings on one development site.</w:t>
      </w:r>
      <w:proofErr w:type="gramEnd"/>
    </w:p>
    <w:p w:rsidR="00AD4B44" w:rsidRDefault="00AD4B44" w:rsidP="00A36C11">
      <w:pPr>
        <w:pStyle w:val="ListParagraph"/>
        <w:ind w:left="1440"/>
        <w:rPr>
          <w:sz w:val="32"/>
          <w:szCs w:val="32"/>
        </w:rPr>
      </w:pPr>
      <w:proofErr w:type="gramStart"/>
      <w:r>
        <w:rPr>
          <w:sz w:val="32"/>
          <w:szCs w:val="32"/>
        </w:rPr>
        <w:t>The proportion of dwellings suitable for younger occupants.</w:t>
      </w:r>
      <w:proofErr w:type="gramEnd"/>
    </w:p>
    <w:p w:rsidR="00AD4B44" w:rsidRDefault="00AD4B44" w:rsidP="00A36C11">
      <w:pPr>
        <w:pStyle w:val="ListParagraph"/>
        <w:ind w:left="1440"/>
        <w:rPr>
          <w:sz w:val="32"/>
          <w:szCs w:val="32"/>
        </w:rPr>
      </w:pPr>
      <w:proofErr w:type="gramStart"/>
      <w:r>
        <w:rPr>
          <w:sz w:val="32"/>
          <w:szCs w:val="32"/>
        </w:rPr>
        <w:t>Access of the site to all services.</w:t>
      </w:r>
      <w:proofErr w:type="gramEnd"/>
    </w:p>
    <w:p w:rsidR="002F2F14" w:rsidRPr="009D397F" w:rsidRDefault="002F2F14" w:rsidP="009D397F">
      <w:pPr>
        <w:pStyle w:val="ListParagraph"/>
        <w:ind w:left="1440"/>
        <w:rPr>
          <w:sz w:val="32"/>
          <w:szCs w:val="32"/>
        </w:rPr>
      </w:pPr>
      <w:r>
        <w:rPr>
          <w:sz w:val="32"/>
          <w:szCs w:val="32"/>
        </w:rPr>
        <w:t>The percentage of housing that can be built which classifies as affordable.</w:t>
      </w:r>
    </w:p>
    <w:p w:rsidR="002F2F14" w:rsidRDefault="002F2F14" w:rsidP="00A36C11">
      <w:pPr>
        <w:pStyle w:val="ListParagraph"/>
        <w:ind w:left="1440"/>
        <w:rPr>
          <w:sz w:val="32"/>
          <w:szCs w:val="32"/>
        </w:rPr>
      </w:pPr>
    </w:p>
    <w:p w:rsidR="00AD4B44" w:rsidRDefault="00AD4B44" w:rsidP="00A36C11">
      <w:pPr>
        <w:pStyle w:val="ListParagraph"/>
        <w:ind w:left="1440"/>
        <w:rPr>
          <w:sz w:val="32"/>
          <w:szCs w:val="32"/>
        </w:rPr>
      </w:pPr>
    </w:p>
    <w:p w:rsidR="00AD4B44" w:rsidRDefault="00AD4B44" w:rsidP="00A36C11">
      <w:pPr>
        <w:pStyle w:val="ListParagraph"/>
        <w:ind w:left="1440"/>
        <w:rPr>
          <w:sz w:val="32"/>
          <w:szCs w:val="32"/>
        </w:rPr>
      </w:pPr>
    </w:p>
    <w:p w:rsidR="00686FC8" w:rsidRPr="00454D66" w:rsidRDefault="00A36C11" w:rsidP="00A36C11">
      <w:pPr>
        <w:pStyle w:val="ListParagraph"/>
        <w:ind w:left="1440"/>
        <w:rPr>
          <w:sz w:val="32"/>
          <w:szCs w:val="32"/>
        </w:rPr>
      </w:pPr>
      <w:r w:rsidRPr="00454D66">
        <w:rPr>
          <w:sz w:val="32"/>
          <w:szCs w:val="32"/>
        </w:rPr>
        <w:t>These are issues</w:t>
      </w:r>
      <w:r w:rsidR="00686FC8" w:rsidRPr="00454D66">
        <w:rPr>
          <w:sz w:val="32"/>
          <w:szCs w:val="32"/>
        </w:rPr>
        <w:t xml:space="preserve"> </w:t>
      </w:r>
      <w:r w:rsidRPr="00454D66">
        <w:rPr>
          <w:sz w:val="32"/>
          <w:szCs w:val="32"/>
        </w:rPr>
        <w:t xml:space="preserve">that </w:t>
      </w:r>
      <w:r w:rsidR="00686FC8" w:rsidRPr="00454D66">
        <w:rPr>
          <w:sz w:val="32"/>
          <w:szCs w:val="32"/>
        </w:rPr>
        <w:t>will have to be considered when selecting sites for housing.</w:t>
      </w:r>
    </w:p>
    <w:p w:rsidR="00A36C11" w:rsidRPr="00454D66" w:rsidRDefault="00A36C11" w:rsidP="00686FC8">
      <w:pPr>
        <w:pStyle w:val="ListParagraph"/>
        <w:numPr>
          <w:ilvl w:val="1"/>
          <w:numId w:val="1"/>
        </w:numPr>
        <w:rPr>
          <w:sz w:val="32"/>
          <w:szCs w:val="32"/>
        </w:rPr>
      </w:pPr>
      <w:r w:rsidRPr="00454D66">
        <w:rPr>
          <w:sz w:val="32"/>
          <w:szCs w:val="32"/>
        </w:rPr>
        <w:t xml:space="preserve">Issues </w:t>
      </w:r>
      <w:r w:rsidR="00686FC8" w:rsidRPr="00454D66">
        <w:rPr>
          <w:sz w:val="32"/>
          <w:szCs w:val="32"/>
        </w:rPr>
        <w:t>not affect</w:t>
      </w:r>
      <w:r w:rsidRPr="00454D66">
        <w:rPr>
          <w:sz w:val="32"/>
          <w:szCs w:val="32"/>
        </w:rPr>
        <w:t>ing Site S</w:t>
      </w:r>
      <w:r w:rsidR="00686FC8" w:rsidRPr="00454D66">
        <w:rPr>
          <w:sz w:val="32"/>
          <w:szCs w:val="32"/>
        </w:rPr>
        <w:t>election</w:t>
      </w:r>
      <w:r w:rsidRPr="00454D66">
        <w:rPr>
          <w:sz w:val="32"/>
          <w:szCs w:val="32"/>
        </w:rPr>
        <w:t>-</w:t>
      </w:r>
      <w:r w:rsidR="00686FC8" w:rsidRPr="00454D66">
        <w:rPr>
          <w:sz w:val="32"/>
          <w:szCs w:val="32"/>
        </w:rPr>
        <w:t xml:space="preserve"> </w:t>
      </w:r>
    </w:p>
    <w:p w:rsidR="00686FC8" w:rsidRPr="00454D66" w:rsidRDefault="00A36C11" w:rsidP="00A36C11">
      <w:pPr>
        <w:pStyle w:val="ListParagraph"/>
        <w:ind w:left="1440"/>
        <w:rPr>
          <w:sz w:val="32"/>
          <w:szCs w:val="32"/>
        </w:rPr>
      </w:pPr>
      <w:r w:rsidRPr="00454D66">
        <w:rPr>
          <w:sz w:val="32"/>
          <w:szCs w:val="32"/>
        </w:rPr>
        <w:lastRenderedPageBreak/>
        <w:t xml:space="preserve"> Listed to</w:t>
      </w:r>
      <w:r w:rsidR="00686FC8" w:rsidRPr="00454D66">
        <w:rPr>
          <w:sz w:val="32"/>
          <w:szCs w:val="32"/>
        </w:rPr>
        <w:t xml:space="preserve"> show how they have been</w:t>
      </w:r>
      <w:r w:rsidRPr="00454D66">
        <w:rPr>
          <w:sz w:val="32"/>
          <w:szCs w:val="32"/>
        </w:rPr>
        <w:t xml:space="preserve"> considered and</w:t>
      </w:r>
      <w:r w:rsidR="00686FC8" w:rsidRPr="00454D66">
        <w:rPr>
          <w:sz w:val="32"/>
          <w:szCs w:val="32"/>
        </w:rPr>
        <w:t xml:space="preserve"> ruled out.</w:t>
      </w:r>
    </w:p>
    <w:p w:rsidR="00A36C11" w:rsidRPr="00454D66" w:rsidRDefault="00686FC8" w:rsidP="00686FC8">
      <w:pPr>
        <w:pStyle w:val="ListParagraph"/>
        <w:numPr>
          <w:ilvl w:val="1"/>
          <w:numId w:val="1"/>
        </w:numPr>
        <w:rPr>
          <w:sz w:val="32"/>
          <w:szCs w:val="32"/>
        </w:rPr>
      </w:pPr>
      <w:r w:rsidRPr="00454D66">
        <w:rPr>
          <w:sz w:val="32"/>
          <w:szCs w:val="32"/>
        </w:rPr>
        <w:t>Identify areas where funds</w:t>
      </w:r>
      <w:r w:rsidR="00A36C11" w:rsidRPr="00454D66">
        <w:rPr>
          <w:sz w:val="32"/>
          <w:szCs w:val="32"/>
        </w:rPr>
        <w:t xml:space="preserve"> needs-</w:t>
      </w:r>
    </w:p>
    <w:p w:rsidR="00686FC8" w:rsidRPr="00454D66" w:rsidRDefault="00A36C11" w:rsidP="00A36C11">
      <w:pPr>
        <w:pStyle w:val="ListParagraph"/>
        <w:ind w:left="1440"/>
        <w:rPr>
          <w:sz w:val="32"/>
          <w:szCs w:val="32"/>
        </w:rPr>
      </w:pPr>
      <w:r w:rsidRPr="00454D66">
        <w:rPr>
          <w:sz w:val="32"/>
          <w:szCs w:val="32"/>
        </w:rPr>
        <w:t>This will be applicable to only certain sectors</w:t>
      </w:r>
      <w:r w:rsidR="003859FE" w:rsidRPr="00454D66">
        <w:rPr>
          <w:sz w:val="32"/>
          <w:szCs w:val="32"/>
        </w:rPr>
        <w:t>,</w:t>
      </w:r>
      <w:r w:rsidRPr="00454D66">
        <w:rPr>
          <w:sz w:val="32"/>
          <w:szCs w:val="32"/>
        </w:rPr>
        <w:t xml:space="preserve"> mainly Amenities and Infrastructure</w:t>
      </w:r>
      <w:r w:rsidR="003859FE" w:rsidRPr="00454D66">
        <w:rPr>
          <w:sz w:val="32"/>
          <w:szCs w:val="32"/>
        </w:rPr>
        <w:t xml:space="preserve"> where Section/CIL funds will can be considered.</w:t>
      </w:r>
    </w:p>
    <w:p w:rsidR="00C21F6A" w:rsidRPr="00454D66" w:rsidRDefault="00C21F6A" w:rsidP="00C21F6A">
      <w:pPr>
        <w:pStyle w:val="ListParagraph"/>
        <w:rPr>
          <w:sz w:val="32"/>
          <w:szCs w:val="32"/>
        </w:rPr>
      </w:pPr>
      <w:r w:rsidRPr="00454D66">
        <w:rPr>
          <w:sz w:val="32"/>
          <w:szCs w:val="32"/>
        </w:rPr>
        <w:tab/>
      </w:r>
    </w:p>
    <w:p w:rsidR="00C21F6A" w:rsidRPr="00454D66" w:rsidRDefault="00C21F6A">
      <w:pPr>
        <w:rPr>
          <w:sz w:val="32"/>
          <w:szCs w:val="32"/>
        </w:rPr>
      </w:pPr>
      <w:r w:rsidRPr="00454D66">
        <w:rPr>
          <w:sz w:val="32"/>
          <w:szCs w:val="32"/>
        </w:rPr>
        <w:t xml:space="preserve"> </w:t>
      </w:r>
    </w:p>
    <w:sectPr w:rsidR="00C21F6A" w:rsidRPr="00454D66" w:rsidSect="00C252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27EA8"/>
    <w:multiLevelType w:val="hybridMultilevel"/>
    <w:tmpl w:val="A8A41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2C4950"/>
    <w:multiLevelType w:val="hybridMultilevel"/>
    <w:tmpl w:val="86A2843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5AE07E8A"/>
    <w:multiLevelType w:val="hybridMultilevel"/>
    <w:tmpl w:val="79CADC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21F6A"/>
    <w:rsid w:val="000C0024"/>
    <w:rsid w:val="00121E9A"/>
    <w:rsid w:val="001A7FD5"/>
    <w:rsid w:val="002C1542"/>
    <w:rsid w:val="002D755A"/>
    <w:rsid w:val="002F2F14"/>
    <w:rsid w:val="003859FE"/>
    <w:rsid w:val="003D245A"/>
    <w:rsid w:val="00454D66"/>
    <w:rsid w:val="004D0BAC"/>
    <w:rsid w:val="00525E27"/>
    <w:rsid w:val="0053462E"/>
    <w:rsid w:val="00561CF8"/>
    <w:rsid w:val="00686FC8"/>
    <w:rsid w:val="006D65AA"/>
    <w:rsid w:val="008758A4"/>
    <w:rsid w:val="008D5E2D"/>
    <w:rsid w:val="009356EA"/>
    <w:rsid w:val="00991274"/>
    <w:rsid w:val="009D397F"/>
    <w:rsid w:val="00A36C11"/>
    <w:rsid w:val="00AD4B44"/>
    <w:rsid w:val="00B04FD3"/>
    <w:rsid w:val="00B514F2"/>
    <w:rsid w:val="00B656E3"/>
    <w:rsid w:val="00B85709"/>
    <w:rsid w:val="00C21F6A"/>
    <w:rsid w:val="00C2529F"/>
    <w:rsid w:val="00D2185B"/>
    <w:rsid w:val="00D9318E"/>
    <w:rsid w:val="00E11196"/>
    <w:rsid w:val="00E16C10"/>
    <w:rsid w:val="00F80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29F"/>
  </w:style>
  <w:style w:type="paragraph" w:styleId="Heading1">
    <w:name w:val="heading 1"/>
    <w:basedOn w:val="Normal"/>
    <w:next w:val="Normal"/>
    <w:link w:val="Heading1Char"/>
    <w:uiPriority w:val="9"/>
    <w:qFormat/>
    <w:rsid w:val="00B85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5E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F6A"/>
    <w:pPr>
      <w:ind w:left="720"/>
      <w:contextualSpacing/>
    </w:pPr>
  </w:style>
  <w:style w:type="character" w:styleId="Hyperlink">
    <w:name w:val="Hyperlink"/>
    <w:basedOn w:val="DefaultParagraphFont"/>
    <w:uiPriority w:val="99"/>
    <w:semiHidden/>
    <w:unhideWhenUsed/>
    <w:rsid w:val="0053462E"/>
    <w:rPr>
      <w:color w:val="0000FF"/>
      <w:u w:val="single"/>
    </w:rPr>
  </w:style>
  <w:style w:type="paragraph" w:styleId="NormalWeb">
    <w:name w:val="Normal (Web)"/>
    <w:basedOn w:val="Normal"/>
    <w:uiPriority w:val="99"/>
    <w:semiHidden/>
    <w:unhideWhenUsed/>
    <w:rsid w:val="0053462E"/>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53462E"/>
    <w:rPr>
      <w:b/>
      <w:bCs/>
    </w:rPr>
  </w:style>
  <w:style w:type="character" w:customStyle="1" w:styleId="Heading1Char">
    <w:name w:val="Heading 1 Char"/>
    <w:basedOn w:val="DefaultParagraphFont"/>
    <w:link w:val="Heading1"/>
    <w:uiPriority w:val="9"/>
    <w:rsid w:val="00B8570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8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D5E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563368">
      <w:bodyDiv w:val="1"/>
      <w:marLeft w:val="0"/>
      <w:marRight w:val="0"/>
      <w:marTop w:val="0"/>
      <w:marBottom w:val="0"/>
      <w:divBdr>
        <w:top w:val="none" w:sz="0" w:space="0" w:color="auto"/>
        <w:left w:val="none" w:sz="0" w:space="0" w:color="auto"/>
        <w:bottom w:val="none" w:sz="0" w:space="0" w:color="auto"/>
        <w:right w:val="none" w:sz="0" w:space="0" w:color="auto"/>
      </w:divBdr>
    </w:div>
    <w:div w:id="805777266">
      <w:bodyDiv w:val="1"/>
      <w:marLeft w:val="0"/>
      <w:marRight w:val="0"/>
      <w:marTop w:val="0"/>
      <w:marBottom w:val="0"/>
      <w:divBdr>
        <w:top w:val="none" w:sz="0" w:space="0" w:color="auto"/>
        <w:left w:val="none" w:sz="0" w:space="0" w:color="auto"/>
        <w:bottom w:val="none" w:sz="0" w:space="0" w:color="auto"/>
        <w:right w:val="none" w:sz="0" w:space="0" w:color="auto"/>
      </w:divBdr>
    </w:div>
    <w:div w:id="1330063361">
      <w:bodyDiv w:val="1"/>
      <w:marLeft w:val="0"/>
      <w:marRight w:val="0"/>
      <w:marTop w:val="0"/>
      <w:marBottom w:val="0"/>
      <w:divBdr>
        <w:top w:val="none" w:sz="0" w:space="0" w:color="auto"/>
        <w:left w:val="none" w:sz="0" w:space="0" w:color="auto"/>
        <w:bottom w:val="none" w:sz="0" w:space="0" w:color="auto"/>
        <w:right w:val="none" w:sz="0" w:space="0" w:color="auto"/>
      </w:divBdr>
    </w:div>
    <w:div w:id="1565868113">
      <w:bodyDiv w:val="1"/>
      <w:marLeft w:val="0"/>
      <w:marRight w:val="0"/>
      <w:marTop w:val="0"/>
      <w:marBottom w:val="0"/>
      <w:divBdr>
        <w:top w:val="none" w:sz="0" w:space="0" w:color="auto"/>
        <w:left w:val="none" w:sz="0" w:space="0" w:color="auto"/>
        <w:bottom w:val="none" w:sz="0" w:space="0" w:color="auto"/>
        <w:right w:val="none" w:sz="0" w:space="0" w:color="auto"/>
      </w:divBdr>
    </w:div>
    <w:div w:id="17875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blocked::http://www.stratford.gov.uk/" TargetMode="External"/><Relationship Id="rId3" Type="http://schemas.microsoft.com/office/2007/relationships/stylesWithEffects" Target="stylesWithEffects.xml"/><Relationship Id="rId7" Type="http://schemas.openxmlformats.org/officeDocument/2006/relationships/hyperlink" Target="blocked::mailto:steve.steve.bosworth@stratford-d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ve.Bosworth@stratford-dc.gov.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r.ne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User</cp:lastModifiedBy>
  <cp:revision>2</cp:revision>
  <dcterms:created xsi:type="dcterms:W3CDTF">2015-03-15T10:14:00Z</dcterms:created>
  <dcterms:modified xsi:type="dcterms:W3CDTF">2015-03-15T10:14:00Z</dcterms:modified>
</cp:coreProperties>
</file>