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F6" w:rsidRDefault="00EA6D28">
      <w:pPr>
        <w:spacing w:after="0" w:line="259" w:lineRule="auto"/>
        <w:ind w:right="7"/>
        <w:jc w:val="center"/>
      </w:pPr>
      <w:r>
        <w:rPr>
          <w:b/>
          <w:sz w:val="32"/>
        </w:rPr>
        <w:t>WILMCOTE PARISH</w:t>
      </w:r>
      <w:r w:rsidR="000113B6">
        <w:rPr>
          <w:b/>
          <w:sz w:val="32"/>
        </w:rPr>
        <w:t xml:space="preserve"> COUNCIL </w:t>
      </w:r>
    </w:p>
    <w:p w:rsidR="00EA6D28" w:rsidRDefault="00EA6D28">
      <w:pPr>
        <w:spacing w:after="0" w:line="259" w:lineRule="auto"/>
        <w:ind w:right="3"/>
        <w:jc w:val="center"/>
        <w:rPr>
          <w:b/>
          <w:sz w:val="32"/>
        </w:rPr>
      </w:pPr>
      <w:r>
        <w:rPr>
          <w:b/>
          <w:sz w:val="32"/>
        </w:rPr>
        <w:t>GRANT FUND 2019/2020</w:t>
      </w:r>
    </w:p>
    <w:p w:rsidR="001528F6" w:rsidRDefault="00EA6D28" w:rsidP="007A477A">
      <w:pPr>
        <w:spacing w:after="0" w:line="259" w:lineRule="auto"/>
        <w:ind w:right="3"/>
        <w:jc w:val="center"/>
      </w:pPr>
      <w:r>
        <w:rPr>
          <w:b/>
          <w:sz w:val="32"/>
        </w:rPr>
        <w:t>APPLICATION FOR A GRANT</w:t>
      </w:r>
      <w:r w:rsidR="007A477A">
        <w:rPr>
          <w:b/>
          <w:sz w:val="32"/>
        </w:rPr>
        <w:t xml:space="preserve"> </w:t>
      </w:r>
      <w:r w:rsidR="000113B6">
        <w:rPr>
          <w:b/>
          <w:sz w:val="36"/>
        </w:rPr>
        <w:t xml:space="preserve"> </w:t>
      </w:r>
    </w:p>
    <w:p w:rsidR="001528F6" w:rsidRDefault="001528F6">
      <w:pPr>
        <w:spacing w:after="35" w:line="259" w:lineRule="auto"/>
        <w:ind w:left="0" w:right="0" w:firstLine="0"/>
        <w:jc w:val="left"/>
      </w:pPr>
    </w:p>
    <w:p w:rsidR="001528F6" w:rsidRDefault="000113B6">
      <w:pPr>
        <w:spacing w:after="0" w:line="259" w:lineRule="auto"/>
        <w:ind w:right="2"/>
        <w:jc w:val="center"/>
      </w:pPr>
      <w:r>
        <w:rPr>
          <w:b/>
          <w:sz w:val="28"/>
        </w:rPr>
        <w:t xml:space="preserve">Deadline for applications: </w:t>
      </w:r>
    </w:p>
    <w:p w:rsidR="007A477A" w:rsidRDefault="000113B6">
      <w:pPr>
        <w:spacing w:after="0" w:line="259" w:lineRule="auto"/>
        <w:ind w:right="3"/>
        <w:jc w:val="center"/>
        <w:rPr>
          <w:b/>
          <w:sz w:val="28"/>
        </w:rPr>
      </w:pPr>
      <w:r>
        <w:rPr>
          <w:b/>
          <w:sz w:val="28"/>
        </w:rPr>
        <w:t>5pm on Friday 31</w:t>
      </w:r>
      <w:r>
        <w:rPr>
          <w:b/>
          <w:sz w:val="28"/>
          <w:vertAlign w:val="superscript"/>
        </w:rPr>
        <w:t>st</w:t>
      </w:r>
      <w:r w:rsidR="007A477A">
        <w:rPr>
          <w:b/>
          <w:sz w:val="28"/>
        </w:rPr>
        <w:t xml:space="preserve"> May</w:t>
      </w:r>
      <w:r w:rsidR="00EA6D28">
        <w:rPr>
          <w:b/>
          <w:sz w:val="28"/>
        </w:rPr>
        <w:t xml:space="preserve"> 2019</w:t>
      </w:r>
      <w:r>
        <w:rPr>
          <w:b/>
          <w:sz w:val="28"/>
        </w:rPr>
        <w:t xml:space="preserve"> </w:t>
      </w:r>
    </w:p>
    <w:p w:rsidR="001528F6" w:rsidRDefault="000113B6">
      <w:pPr>
        <w:spacing w:after="0" w:line="259" w:lineRule="auto"/>
        <w:ind w:right="3"/>
        <w:jc w:val="center"/>
        <w:rPr>
          <w:b/>
          <w:sz w:val="28"/>
        </w:rPr>
      </w:pPr>
      <w:r>
        <w:rPr>
          <w:b/>
          <w:sz w:val="28"/>
        </w:rPr>
        <w:t xml:space="preserve"> </w:t>
      </w:r>
    </w:p>
    <w:p w:rsidR="000C41D1" w:rsidRPr="007A477A" w:rsidRDefault="000C41D1" w:rsidP="007A477A">
      <w:pPr>
        <w:spacing w:after="0" w:line="259" w:lineRule="auto"/>
        <w:ind w:right="3"/>
        <w:jc w:val="left"/>
        <w:rPr>
          <w:b/>
          <w:sz w:val="28"/>
        </w:rPr>
      </w:pPr>
      <w:r>
        <w:t>The Wilmcote Parish Council Grant Fund is aimed at community and voluntary organisations. The Fund is a pot of £2000 to support small-scale projects within the parish.</w:t>
      </w:r>
      <w:r w:rsidR="00BC1811">
        <w:t xml:space="preserve">  </w:t>
      </w:r>
      <w:r>
        <w:t>Applications for a grant are invited from voluntary groups, community organisations, charitable and other organisations carrying out community activities.</w:t>
      </w:r>
    </w:p>
    <w:p w:rsidR="000C41D1" w:rsidRDefault="000C41D1" w:rsidP="000C41D1">
      <w:pPr>
        <w:spacing w:after="0"/>
      </w:pPr>
    </w:p>
    <w:p w:rsidR="000C41D1" w:rsidRDefault="000C41D1" w:rsidP="000C41D1">
      <w:pPr>
        <w:spacing w:after="0"/>
      </w:pPr>
      <w:r>
        <w:rPr>
          <w:b/>
        </w:rPr>
        <w:t>Applications will be considered for the following purposes: -</w:t>
      </w:r>
    </w:p>
    <w:p w:rsidR="000C41D1" w:rsidRDefault="000C41D1" w:rsidP="00BC1811">
      <w:pPr>
        <w:spacing w:after="0"/>
        <w:ind w:left="360" w:hanging="360"/>
      </w:pPr>
      <w:r>
        <w:t>1.  For the purpose of purchasing equipment either in part or in full.</w:t>
      </w:r>
    </w:p>
    <w:p w:rsidR="000C41D1" w:rsidRDefault="000C41D1" w:rsidP="00BC1811">
      <w:pPr>
        <w:spacing w:after="0"/>
        <w:ind w:left="360" w:hanging="360"/>
      </w:pPr>
      <w:r>
        <w:t xml:space="preserve">2. </w:t>
      </w:r>
      <w:r w:rsidR="00BC1811">
        <w:t xml:space="preserve"> </w:t>
      </w:r>
      <w:proofErr w:type="gramStart"/>
      <w:r>
        <w:t>For</w:t>
      </w:r>
      <w:proofErr w:type="gramEnd"/>
      <w:r>
        <w:t xml:space="preserve"> the funding of transport that will enable group members to partake in a group trip or outing (regardless of their incomes).</w:t>
      </w:r>
    </w:p>
    <w:p w:rsidR="000C41D1" w:rsidRDefault="000C41D1" w:rsidP="00BC1811">
      <w:pPr>
        <w:spacing w:after="0"/>
        <w:ind w:left="360" w:hanging="360"/>
      </w:pPr>
      <w:r>
        <w:t xml:space="preserve">3.  </w:t>
      </w:r>
      <w:proofErr w:type="gramStart"/>
      <w:r>
        <w:t>For</w:t>
      </w:r>
      <w:proofErr w:type="gramEnd"/>
      <w:r>
        <w:t xml:space="preserve"> training activities, or to purchase the expertise of an outside trainer/ instructor/ facilitator.</w:t>
      </w:r>
    </w:p>
    <w:p w:rsidR="000C41D1" w:rsidRDefault="000C41D1" w:rsidP="00BC1811">
      <w:pPr>
        <w:spacing w:after="0"/>
        <w:ind w:left="360" w:hanging="360"/>
      </w:pPr>
      <w:r>
        <w:t xml:space="preserve">4.  </w:t>
      </w:r>
      <w:proofErr w:type="gramStart"/>
      <w:r>
        <w:t>For</w:t>
      </w:r>
      <w:proofErr w:type="gramEnd"/>
      <w:r>
        <w:t xml:space="preserve"> activities that raise the profile of the Parish. </w:t>
      </w:r>
    </w:p>
    <w:p w:rsidR="000C41D1" w:rsidRDefault="000C41D1" w:rsidP="0052310B">
      <w:pPr>
        <w:spacing w:after="0"/>
        <w:ind w:left="360" w:hanging="360"/>
      </w:pPr>
      <w:r>
        <w:t>5.  For running costs of a viable group that is experiencing a period of hardship.</w:t>
      </w:r>
    </w:p>
    <w:p w:rsidR="000C41D1" w:rsidRDefault="000C41D1" w:rsidP="0052310B">
      <w:pPr>
        <w:spacing w:after="0"/>
        <w:ind w:left="360" w:hanging="360"/>
      </w:pPr>
      <w:r>
        <w:t xml:space="preserve">6.  </w:t>
      </w:r>
      <w:proofErr w:type="gramStart"/>
      <w:r>
        <w:t>For</w:t>
      </w:r>
      <w:proofErr w:type="gramEnd"/>
      <w:r>
        <w:t xml:space="preserve"> hosting special events or celebrations.</w:t>
      </w:r>
    </w:p>
    <w:p w:rsidR="000C41D1" w:rsidRDefault="000C41D1" w:rsidP="0052310B">
      <w:pPr>
        <w:spacing w:after="0"/>
        <w:ind w:left="360" w:hanging="360"/>
      </w:pPr>
      <w:r>
        <w:t xml:space="preserve">7.  </w:t>
      </w:r>
      <w:proofErr w:type="gramStart"/>
      <w:r>
        <w:t>For</w:t>
      </w:r>
      <w:proofErr w:type="gramEnd"/>
      <w:r>
        <w:t xml:space="preserve"> the provision of recreational facilities.</w:t>
      </w:r>
    </w:p>
    <w:p w:rsidR="000C41D1" w:rsidRDefault="000C41D1" w:rsidP="0052310B">
      <w:pPr>
        <w:spacing w:after="0"/>
        <w:ind w:left="360" w:hanging="360"/>
      </w:pPr>
      <w:r>
        <w:t>8.  Small start-up grants for new groups.</w:t>
      </w:r>
    </w:p>
    <w:p w:rsidR="000C41D1" w:rsidRDefault="000C41D1" w:rsidP="000C41D1">
      <w:pPr>
        <w:spacing w:after="0"/>
        <w:rPr>
          <w:b/>
        </w:rPr>
      </w:pPr>
    </w:p>
    <w:p w:rsidR="000C41D1" w:rsidRDefault="000C41D1" w:rsidP="000C41D1">
      <w:pPr>
        <w:spacing w:after="0"/>
      </w:pPr>
      <w:r>
        <w:rPr>
          <w:b/>
        </w:rPr>
        <w:t>Conditions: -</w:t>
      </w:r>
    </w:p>
    <w:p w:rsidR="000C41D1" w:rsidRDefault="000C41D1" w:rsidP="0052310B">
      <w:pPr>
        <w:spacing w:after="0"/>
        <w:ind w:left="360" w:hanging="360"/>
      </w:pPr>
      <w:r>
        <w:t>1. To qualify for an award the applicant must be able to demonstrate that any funding from Wilmcote Parish Council will benefit the Parish or residents of the Parish.</w:t>
      </w:r>
    </w:p>
    <w:p w:rsidR="000C41D1" w:rsidRDefault="000C41D1" w:rsidP="0052310B">
      <w:pPr>
        <w:spacing w:after="0"/>
        <w:ind w:left="360" w:hanging="360"/>
      </w:pPr>
      <w:r>
        <w:t>2.  Grants will not be awarded to individuals</w:t>
      </w:r>
    </w:p>
    <w:p w:rsidR="000C41D1" w:rsidRDefault="000C41D1" w:rsidP="0052310B">
      <w:pPr>
        <w:spacing w:after="0"/>
        <w:ind w:left="360" w:hanging="360"/>
      </w:pPr>
      <w:r>
        <w:t>3.  Grants will not be awarded for similar items on a regular basis.</w:t>
      </w:r>
    </w:p>
    <w:p w:rsidR="000C41D1" w:rsidRDefault="000C41D1" w:rsidP="0052310B">
      <w:pPr>
        <w:spacing w:after="0"/>
        <w:ind w:left="360" w:hanging="360"/>
      </w:pPr>
      <w:r>
        <w:t>4.  Additional applications within a 12-month period will not normally be considered.</w:t>
      </w:r>
    </w:p>
    <w:p w:rsidR="000C41D1" w:rsidRDefault="000C41D1" w:rsidP="0052310B">
      <w:pPr>
        <w:spacing w:after="0"/>
        <w:ind w:left="360" w:hanging="360"/>
      </w:pPr>
      <w:r>
        <w:t>5.  The award must be used for the purpose for which the application was made.</w:t>
      </w:r>
    </w:p>
    <w:p w:rsidR="000C41D1" w:rsidRDefault="000C41D1" w:rsidP="00310ED8">
      <w:pPr>
        <w:spacing w:after="0"/>
        <w:ind w:left="360" w:hanging="360"/>
      </w:pPr>
      <w:r>
        <w:t>6. If the group is unable to use the award for the stated purpose, all monies must be returned to Wilmcote Parish Council.</w:t>
      </w:r>
    </w:p>
    <w:p w:rsidR="000C41D1" w:rsidRDefault="000C41D1" w:rsidP="00310ED8">
      <w:pPr>
        <w:spacing w:after="0"/>
        <w:ind w:left="360" w:hanging="360"/>
      </w:pPr>
      <w:r>
        <w:t xml:space="preserve">7.  All awards must be properly accounted for and evidence of expenditure should be supplied, when the project has concluded (normally within 12 months of the date of the Grant). Please note that if Wilmcote Parish Council is not satisfied with the expenditure and its arrangements, they reserve the right to request a refund of the monies awarded. </w:t>
      </w:r>
    </w:p>
    <w:p w:rsidR="000C41D1" w:rsidRDefault="000C41D1" w:rsidP="000C41D1">
      <w:pPr>
        <w:spacing w:after="0"/>
        <w:rPr>
          <w:b/>
        </w:rPr>
      </w:pPr>
    </w:p>
    <w:p w:rsidR="000C41D1" w:rsidRDefault="000C41D1" w:rsidP="000C41D1">
      <w:pPr>
        <w:spacing w:after="0"/>
        <w:ind w:left="-360" w:right="-334"/>
      </w:pPr>
      <w:r>
        <w:rPr>
          <w:b/>
        </w:rPr>
        <w:t>Eligibility: -</w:t>
      </w:r>
    </w:p>
    <w:p w:rsidR="000C41D1" w:rsidRDefault="000C41D1" w:rsidP="00310ED8">
      <w:pPr>
        <w:spacing w:after="0"/>
        <w:ind w:left="360" w:hanging="360"/>
      </w:pPr>
      <w:r>
        <w:t>1.  Any Charity, Voluntary Group or Community Organisation.</w:t>
      </w:r>
    </w:p>
    <w:p w:rsidR="000C41D1" w:rsidRDefault="000C41D1" w:rsidP="00310ED8">
      <w:pPr>
        <w:spacing w:after="0"/>
        <w:ind w:left="360" w:hanging="360"/>
      </w:pPr>
      <w:r>
        <w:t>2. Agencies that operate within Wilmcote Parish Council boundary and are of benefit to the local community with the foll</w:t>
      </w:r>
      <w:r w:rsidR="00A6329D">
        <w:t xml:space="preserve">owing proviso.   </w:t>
      </w:r>
      <w:r>
        <w:t>Wilmcote Parish Council will not fund activities that it considers to be the responsibility of a Statutory Authority.</w:t>
      </w:r>
    </w:p>
    <w:p w:rsidR="000C41D1" w:rsidRDefault="000C41D1" w:rsidP="00310ED8">
      <w:pPr>
        <w:spacing w:after="0"/>
        <w:ind w:left="360" w:hanging="360"/>
      </w:pPr>
      <w:r>
        <w:t>3. Groups operating outside Wilmcote Parish Council boundary may be eligible to apply provided they can demonstrate that the project will benefit the residents of the Wilmcote Parish.</w:t>
      </w:r>
    </w:p>
    <w:p w:rsidR="001528F6" w:rsidRDefault="000113B6">
      <w:pPr>
        <w:spacing w:after="0" w:line="259" w:lineRule="auto"/>
        <w:ind w:left="0" w:right="0" w:firstLine="0"/>
        <w:jc w:val="left"/>
      </w:pPr>
      <w:r>
        <w:t xml:space="preserve"> </w:t>
      </w:r>
    </w:p>
    <w:p w:rsidR="001528F6" w:rsidRDefault="000113B6">
      <w:pPr>
        <w:ind w:left="-5" w:right="0"/>
      </w:pPr>
      <w:r>
        <w:t xml:space="preserve">  </w:t>
      </w:r>
    </w:p>
    <w:p w:rsidR="001528F6" w:rsidRDefault="000C41D1" w:rsidP="000C41D1">
      <w:pPr>
        <w:spacing w:after="31" w:line="259" w:lineRule="auto"/>
        <w:ind w:left="0" w:right="0" w:firstLine="0"/>
        <w:jc w:val="left"/>
      </w:pPr>
      <w:r>
        <w:t xml:space="preserve">APPLICATION FORM </w:t>
      </w:r>
    </w:p>
    <w:p w:rsidR="00B77414" w:rsidRDefault="00310ED8" w:rsidP="000C41D1">
      <w:pPr>
        <w:spacing w:after="31" w:line="259" w:lineRule="auto"/>
        <w:ind w:left="0" w:right="0" w:firstLine="0"/>
        <w:jc w:val="left"/>
      </w:pPr>
      <w:r>
        <w:t xml:space="preserve">For an application </w:t>
      </w:r>
      <w:r w:rsidR="00B77414">
        <w:t xml:space="preserve">form please contact the parish council clerk Liz Butterworth by email </w:t>
      </w:r>
      <w:hyperlink r:id="rId8" w:history="1">
        <w:r w:rsidR="00B77414" w:rsidRPr="00612CC5">
          <w:rPr>
            <w:rStyle w:val="Hyperlink"/>
          </w:rPr>
          <w:t>lizbutterworth1@btinternet.com</w:t>
        </w:r>
      </w:hyperlink>
      <w:r w:rsidR="00B77414">
        <w:t xml:space="preserve"> </w:t>
      </w:r>
    </w:p>
    <w:p w:rsidR="007A477A" w:rsidRDefault="007A477A" w:rsidP="000C41D1">
      <w:pPr>
        <w:spacing w:after="31" w:line="259" w:lineRule="auto"/>
        <w:ind w:left="0" w:right="0" w:firstLine="0"/>
        <w:jc w:val="left"/>
      </w:pPr>
    </w:p>
    <w:p w:rsidR="007A477A" w:rsidRDefault="007A477A" w:rsidP="007A477A">
      <w:pPr>
        <w:spacing w:after="0"/>
        <w:jc w:val="center"/>
        <w:rPr>
          <w:rFonts w:asciiTheme="minorHAnsi" w:eastAsiaTheme="minorHAnsi" w:hAnsiTheme="minorHAnsi" w:cstheme="minorBidi"/>
          <w:b/>
          <w:color w:val="auto"/>
          <w:sz w:val="24"/>
          <w:szCs w:val="24"/>
        </w:rPr>
      </w:pPr>
      <w:r>
        <w:rPr>
          <w:b/>
          <w:sz w:val="24"/>
          <w:szCs w:val="24"/>
        </w:rPr>
        <w:t>Your application will be considered at the Council meeting of Wilmcote Parish Council</w:t>
      </w:r>
    </w:p>
    <w:p w:rsidR="007A477A" w:rsidRDefault="007A477A" w:rsidP="007A477A">
      <w:pPr>
        <w:spacing w:after="0"/>
        <w:jc w:val="center"/>
        <w:rPr>
          <w:b/>
          <w:sz w:val="24"/>
          <w:szCs w:val="24"/>
        </w:rPr>
      </w:pPr>
      <w:proofErr w:type="gramStart"/>
      <w:r>
        <w:rPr>
          <w:b/>
          <w:sz w:val="24"/>
          <w:szCs w:val="24"/>
        </w:rPr>
        <w:t>on</w:t>
      </w:r>
      <w:proofErr w:type="gramEnd"/>
      <w:r>
        <w:rPr>
          <w:b/>
          <w:sz w:val="24"/>
          <w:szCs w:val="24"/>
        </w:rPr>
        <w:t xml:space="preserve"> Wednesday 17</w:t>
      </w:r>
      <w:r>
        <w:rPr>
          <w:b/>
          <w:sz w:val="24"/>
          <w:szCs w:val="24"/>
          <w:vertAlign w:val="superscript"/>
        </w:rPr>
        <w:t>th</w:t>
      </w:r>
      <w:r>
        <w:rPr>
          <w:b/>
          <w:sz w:val="24"/>
          <w:szCs w:val="24"/>
        </w:rPr>
        <w:t xml:space="preserve"> July 2019</w:t>
      </w:r>
      <w:bookmarkStart w:id="0" w:name="_GoBack"/>
      <w:bookmarkEnd w:id="0"/>
    </w:p>
    <w:p w:rsidR="007A477A" w:rsidRDefault="007A477A" w:rsidP="007A477A">
      <w:pPr>
        <w:rPr>
          <w:b/>
          <w:sz w:val="24"/>
          <w:szCs w:val="24"/>
        </w:rPr>
      </w:pPr>
    </w:p>
    <w:p w:rsidR="007A477A" w:rsidRDefault="007A477A" w:rsidP="000C41D1">
      <w:pPr>
        <w:spacing w:after="31" w:line="259" w:lineRule="auto"/>
        <w:ind w:left="0" w:right="0" w:firstLine="0"/>
        <w:jc w:val="left"/>
      </w:pPr>
    </w:p>
    <w:sectPr w:rsidR="007A477A">
      <w:footerReference w:type="even" r:id="rId9"/>
      <w:footerReference w:type="default" r:id="rId10"/>
      <w:footerReference w:type="first" r:id="rId11"/>
      <w:pgSz w:w="11906" w:h="16838"/>
      <w:pgMar w:top="568" w:right="1017" w:bottom="978" w:left="1020"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3A" w:rsidRDefault="00F45D3A">
      <w:pPr>
        <w:spacing w:after="0" w:line="240" w:lineRule="auto"/>
      </w:pPr>
      <w:r>
        <w:separator/>
      </w:r>
    </w:p>
  </w:endnote>
  <w:endnote w:type="continuationSeparator" w:id="0">
    <w:p w:rsidR="00F45D3A" w:rsidRDefault="00F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F6" w:rsidRDefault="000113B6">
    <w:pPr>
      <w:spacing w:after="0" w:line="259" w:lineRule="auto"/>
      <w:ind w:left="0" w:firstLine="0"/>
      <w:jc w:val="center"/>
    </w:pPr>
    <w:r>
      <w:fldChar w:fldCharType="begin"/>
    </w:r>
    <w:r>
      <w:instrText xml:space="preserve"> PAGE   \* MERGEFORMAT </w:instrText>
    </w:r>
    <w:r>
      <w:fldChar w:fldCharType="separate"/>
    </w:r>
    <w:r>
      <w:rPr>
        <w:b/>
        <w:sz w:val="16"/>
      </w:rPr>
      <w:t>1</w:t>
    </w:r>
    <w:r>
      <w:rPr>
        <w:b/>
        <w:sz w:val="16"/>
      </w:rPr>
      <w:fldChar w:fldCharType="end"/>
    </w:r>
    <w:r>
      <w:rPr>
        <w:b/>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F6" w:rsidRDefault="001528F6">
    <w:pPr>
      <w:spacing w:after="0" w:line="259" w:lineRule="auto"/>
      <w:ind w:lef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F6" w:rsidRDefault="000113B6">
    <w:pPr>
      <w:spacing w:after="0" w:line="259" w:lineRule="auto"/>
      <w:ind w:left="0" w:firstLine="0"/>
      <w:jc w:val="center"/>
    </w:pPr>
    <w:r>
      <w:fldChar w:fldCharType="begin"/>
    </w:r>
    <w:r>
      <w:instrText xml:space="preserve"> PAGE   \* MERGEFORMAT </w:instrText>
    </w:r>
    <w:r>
      <w:fldChar w:fldCharType="separate"/>
    </w:r>
    <w:r>
      <w:rPr>
        <w:b/>
        <w:sz w:val="16"/>
      </w:rPr>
      <w:t>1</w:t>
    </w:r>
    <w:r>
      <w:rPr>
        <w:b/>
        <w:sz w:val="16"/>
      </w:rPr>
      <w:fldChar w:fldCharType="end"/>
    </w:r>
    <w:r>
      <w:rPr>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3A" w:rsidRDefault="00F45D3A">
      <w:pPr>
        <w:spacing w:after="0" w:line="240" w:lineRule="auto"/>
      </w:pPr>
      <w:r>
        <w:separator/>
      </w:r>
    </w:p>
  </w:footnote>
  <w:footnote w:type="continuationSeparator" w:id="0">
    <w:p w:rsidR="00F45D3A" w:rsidRDefault="00F45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680"/>
    <w:multiLevelType w:val="hybridMultilevel"/>
    <w:tmpl w:val="E68AE1B0"/>
    <w:lvl w:ilvl="0" w:tplc="DA8487A2">
      <w:start w:val="1"/>
      <w:numFmt w:val="decimal"/>
      <w:pStyle w:val="Heading1"/>
      <w:lvlText w:val="%1."/>
      <w:lvlJc w:val="left"/>
      <w:pPr>
        <w:ind w:left="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1" w:tplc="BA722F94">
      <w:start w:val="1"/>
      <w:numFmt w:val="lowerLetter"/>
      <w:lvlText w:val="%2"/>
      <w:lvlJc w:val="left"/>
      <w:pPr>
        <w:ind w:left="108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2" w:tplc="CFC8A57C">
      <w:start w:val="1"/>
      <w:numFmt w:val="lowerRoman"/>
      <w:lvlText w:val="%3"/>
      <w:lvlJc w:val="left"/>
      <w:pPr>
        <w:ind w:left="180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3" w:tplc="F87C5476">
      <w:start w:val="1"/>
      <w:numFmt w:val="decimal"/>
      <w:lvlText w:val="%4"/>
      <w:lvlJc w:val="left"/>
      <w:pPr>
        <w:ind w:left="252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4" w:tplc="C52CC4F8">
      <w:start w:val="1"/>
      <w:numFmt w:val="lowerLetter"/>
      <w:lvlText w:val="%5"/>
      <w:lvlJc w:val="left"/>
      <w:pPr>
        <w:ind w:left="324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5" w:tplc="10CCA9D8">
      <w:start w:val="1"/>
      <w:numFmt w:val="lowerRoman"/>
      <w:lvlText w:val="%6"/>
      <w:lvlJc w:val="left"/>
      <w:pPr>
        <w:ind w:left="396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6" w:tplc="71C4FF52">
      <w:start w:val="1"/>
      <w:numFmt w:val="decimal"/>
      <w:lvlText w:val="%7"/>
      <w:lvlJc w:val="left"/>
      <w:pPr>
        <w:ind w:left="468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7" w:tplc="75EE94EE">
      <w:start w:val="1"/>
      <w:numFmt w:val="lowerLetter"/>
      <w:lvlText w:val="%8"/>
      <w:lvlJc w:val="left"/>
      <w:pPr>
        <w:ind w:left="540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8" w:tplc="D2D84A28">
      <w:start w:val="1"/>
      <w:numFmt w:val="lowerRoman"/>
      <w:lvlText w:val="%9"/>
      <w:lvlJc w:val="left"/>
      <w:pPr>
        <w:ind w:left="612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abstractNum>
  <w:abstractNum w:abstractNumId="1">
    <w:nsid w:val="1A461662"/>
    <w:multiLevelType w:val="hybridMultilevel"/>
    <w:tmpl w:val="D610E68E"/>
    <w:lvl w:ilvl="0" w:tplc="55A8A0B4">
      <w:start w:val="1"/>
      <w:numFmt w:val="bullet"/>
      <w:lvlText w:val=""/>
      <w:lvlJc w:val="left"/>
      <w:pPr>
        <w:ind w:left="3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B3C29F44">
      <w:start w:val="1"/>
      <w:numFmt w:val="bullet"/>
      <w:lvlText w:val="o"/>
      <w:lvlJc w:val="left"/>
      <w:pPr>
        <w:ind w:left="10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7826EF00">
      <w:start w:val="1"/>
      <w:numFmt w:val="bullet"/>
      <w:lvlText w:val="▪"/>
      <w:lvlJc w:val="left"/>
      <w:pPr>
        <w:ind w:left="18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65BEC9A2">
      <w:start w:val="1"/>
      <w:numFmt w:val="bullet"/>
      <w:lvlText w:val="•"/>
      <w:lvlJc w:val="left"/>
      <w:pPr>
        <w:ind w:left="25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F5FA1C16">
      <w:start w:val="1"/>
      <w:numFmt w:val="bullet"/>
      <w:lvlText w:val="o"/>
      <w:lvlJc w:val="left"/>
      <w:pPr>
        <w:ind w:left="32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FB0C9AB6">
      <w:start w:val="1"/>
      <w:numFmt w:val="bullet"/>
      <w:lvlText w:val="▪"/>
      <w:lvlJc w:val="left"/>
      <w:pPr>
        <w:ind w:left="39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DCC88586">
      <w:start w:val="1"/>
      <w:numFmt w:val="bullet"/>
      <w:lvlText w:val="•"/>
      <w:lvlJc w:val="left"/>
      <w:pPr>
        <w:ind w:left="46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E2C40A90">
      <w:start w:val="1"/>
      <w:numFmt w:val="bullet"/>
      <w:lvlText w:val="o"/>
      <w:lvlJc w:val="left"/>
      <w:pPr>
        <w:ind w:left="54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9F8A0622">
      <w:start w:val="1"/>
      <w:numFmt w:val="bullet"/>
      <w:lvlText w:val="▪"/>
      <w:lvlJc w:val="left"/>
      <w:pPr>
        <w:ind w:left="61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2">
    <w:nsid w:val="211D7F85"/>
    <w:multiLevelType w:val="hybridMultilevel"/>
    <w:tmpl w:val="C7A0027E"/>
    <w:lvl w:ilvl="0" w:tplc="D526B4C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8BDC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A081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00BD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AB9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487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89D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342C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4E80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281979EF"/>
    <w:multiLevelType w:val="hybridMultilevel"/>
    <w:tmpl w:val="1BD64E38"/>
    <w:lvl w:ilvl="0" w:tplc="237E10D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0602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4033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1A64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EAB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8541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2E7A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A43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AC0C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332F57D6"/>
    <w:multiLevelType w:val="hybridMultilevel"/>
    <w:tmpl w:val="E2EC2712"/>
    <w:lvl w:ilvl="0" w:tplc="48D80CD6">
      <w:start w:val="1"/>
      <w:numFmt w:val="bullet"/>
      <w:lvlText w:val="•"/>
      <w:lvlJc w:val="left"/>
      <w:pPr>
        <w:ind w:left="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06C3E">
      <w:start w:val="1"/>
      <w:numFmt w:val="bullet"/>
      <w:lvlText w:val="o"/>
      <w:lvlJc w:val="left"/>
      <w:pPr>
        <w:ind w:left="1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CC0252">
      <w:start w:val="1"/>
      <w:numFmt w:val="bullet"/>
      <w:lvlText w:val="▪"/>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60D5D0">
      <w:start w:val="1"/>
      <w:numFmt w:val="bullet"/>
      <w:lvlText w:val="•"/>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0E4BC">
      <w:start w:val="1"/>
      <w:numFmt w:val="bullet"/>
      <w:lvlText w:val="o"/>
      <w:lvlJc w:val="left"/>
      <w:pPr>
        <w:ind w:left="3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A7C1A">
      <w:start w:val="1"/>
      <w:numFmt w:val="bullet"/>
      <w:lvlText w:val="▪"/>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ADBE8">
      <w:start w:val="1"/>
      <w:numFmt w:val="bullet"/>
      <w:lvlText w:val="•"/>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546CF2">
      <w:start w:val="1"/>
      <w:numFmt w:val="bullet"/>
      <w:lvlText w:val="o"/>
      <w:lvlJc w:val="left"/>
      <w:pPr>
        <w:ind w:left="5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3A5910">
      <w:start w:val="1"/>
      <w:numFmt w:val="bullet"/>
      <w:lvlText w:val="▪"/>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3E25D75"/>
    <w:multiLevelType w:val="hybridMultilevel"/>
    <w:tmpl w:val="5A803504"/>
    <w:lvl w:ilvl="0" w:tplc="666A5710">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4A0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C64D9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08B1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268F3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EAA24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CA06F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CCD5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22683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54352B45"/>
    <w:multiLevelType w:val="hybridMultilevel"/>
    <w:tmpl w:val="621642E4"/>
    <w:lvl w:ilvl="0" w:tplc="B57A8516">
      <w:start w:val="1"/>
      <w:numFmt w:val="bullet"/>
      <w:lvlText w:val=""/>
      <w:lvlJc w:val="left"/>
      <w:pPr>
        <w:ind w:left="3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1" w:tplc="46EE82DE">
      <w:start w:val="1"/>
      <w:numFmt w:val="bullet"/>
      <w:lvlText w:val="o"/>
      <w:lvlJc w:val="left"/>
      <w:pPr>
        <w:ind w:left="10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2" w:tplc="E30E1EFC">
      <w:start w:val="1"/>
      <w:numFmt w:val="bullet"/>
      <w:lvlText w:val="▪"/>
      <w:lvlJc w:val="left"/>
      <w:pPr>
        <w:ind w:left="18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3" w:tplc="2402ACDC">
      <w:start w:val="1"/>
      <w:numFmt w:val="bullet"/>
      <w:lvlText w:val="•"/>
      <w:lvlJc w:val="left"/>
      <w:pPr>
        <w:ind w:left="25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4" w:tplc="293A1E38">
      <w:start w:val="1"/>
      <w:numFmt w:val="bullet"/>
      <w:lvlText w:val="o"/>
      <w:lvlJc w:val="left"/>
      <w:pPr>
        <w:ind w:left="324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5" w:tplc="C286190E">
      <w:start w:val="1"/>
      <w:numFmt w:val="bullet"/>
      <w:lvlText w:val="▪"/>
      <w:lvlJc w:val="left"/>
      <w:pPr>
        <w:ind w:left="396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6" w:tplc="9D9E4386">
      <w:start w:val="1"/>
      <w:numFmt w:val="bullet"/>
      <w:lvlText w:val="•"/>
      <w:lvlJc w:val="left"/>
      <w:pPr>
        <w:ind w:left="468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7" w:tplc="F7343EBE">
      <w:start w:val="1"/>
      <w:numFmt w:val="bullet"/>
      <w:lvlText w:val="o"/>
      <w:lvlJc w:val="left"/>
      <w:pPr>
        <w:ind w:left="540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lvl w:ilvl="8" w:tplc="6620531E">
      <w:start w:val="1"/>
      <w:numFmt w:val="bullet"/>
      <w:lvlText w:val="▪"/>
      <w:lvlJc w:val="left"/>
      <w:pPr>
        <w:ind w:left="6120"/>
      </w:pPr>
      <w:rPr>
        <w:rFonts w:ascii="Wingdings" w:eastAsia="Wingdings" w:hAnsi="Wingdings" w:cs="Wingdings"/>
        <w:b w:val="0"/>
        <w:i w:val="0"/>
        <w:strike w:val="0"/>
        <w:dstrike w:val="0"/>
        <w:color w:val="FF0000"/>
        <w:sz w:val="28"/>
        <w:szCs w:val="28"/>
        <w:u w:val="none" w:color="000000"/>
        <w:bdr w:val="none" w:sz="0" w:space="0" w:color="auto"/>
        <w:shd w:val="clear" w:color="auto" w:fill="auto"/>
        <w:vertAlign w:val="baseline"/>
      </w:rPr>
    </w:lvl>
  </w:abstractNum>
  <w:abstractNum w:abstractNumId="7">
    <w:nsid w:val="728F238E"/>
    <w:multiLevelType w:val="hybridMultilevel"/>
    <w:tmpl w:val="87A068C8"/>
    <w:lvl w:ilvl="0" w:tplc="1E6443F8">
      <w:start w:val="1"/>
      <w:numFmt w:val="bullet"/>
      <w:lvlText w:val=""/>
      <w:lvlJc w:val="left"/>
      <w:pPr>
        <w:ind w:left="3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1" w:tplc="FCEE01F2">
      <w:start w:val="1"/>
      <w:numFmt w:val="bullet"/>
      <w:lvlText w:val="o"/>
      <w:lvlJc w:val="left"/>
      <w:pPr>
        <w:ind w:left="10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2" w:tplc="D868B32A">
      <w:start w:val="1"/>
      <w:numFmt w:val="bullet"/>
      <w:lvlText w:val="▪"/>
      <w:lvlJc w:val="left"/>
      <w:pPr>
        <w:ind w:left="18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3" w:tplc="F266CE6E">
      <w:start w:val="1"/>
      <w:numFmt w:val="bullet"/>
      <w:lvlText w:val="•"/>
      <w:lvlJc w:val="left"/>
      <w:pPr>
        <w:ind w:left="25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4" w:tplc="F378FE8E">
      <w:start w:val="1"/>
      <w:numFmt w:val="bullet"/>
      <w:lvlText w:val="o"/>
      <w:lvlJc w:val="left"/>
      <w:pPr>
        <w:ind w:left="324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5" w:tplc="1974DBAC">
      <w:start w:val="1"/>
      <w:numFmt w:val="bullet"/>
      <w:lvlText w:val="▪"/>
      <w:lvlJc w:val="left"/>
      <w:pPr>
        <w:ind w:left="396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6" w:tplc="05B8D56A">
      <w:start w:val="1"/>
      <w:numFmt w:val="bullet"/>
      <w:lvlText w:val="•"/>
      <w:lvlJc w:val="left"/>
      <w:pPr>
        <w:ind w:left="468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7" w:tplc="BFDE17C0">
      <w:start w:val="1"/>
      <w:numFmt w:val="bullet"/>
      <w:lvlText w:val="o"/>
      <w:lvlJc w:val="left"/>
      <w:pPr>
        <w:ind w:left="540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lvl w:ilvl="8" w:tplc="622230EE">
      <w:start w:val="1"/>
      <w:numFmt w:val="bullet"/>
      <w:lvlText w:val="▪"/>
      <w:lvlJc w:val="left"/>
      <w:pPr>
        <w:ind w:left="6120"/>
      </w:pPr>
      <w:rPr>
        <w:rFonts w:ascii="Wingdings" w:eastAsia="Wingdings" w:hAnsi="Wingdings" w:cs="Wingdings"/>
        <w:b w:val="0"/>
        <w:i w:val="0"/>
        <w:strike w:val="0"/>
        <w:dstrike w:val="0"/>
        <w:color w:val="00B050"/>
        <w:sz w:val="22"/>
        <w:szCs w:val="22"/>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1"/>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F6"/>
    <w:rsid w:val="000113B6"/>
    <w:rsid w:val="000C41D1"/>
    <w:rsid w:val="001528F6"/>
    <w:rsid w:val="0016161E"/>
    <w:rsid w:val="00310ED8"/>
    <w:rsid w:val="0052310B"/>
    <w:rsid w:val="007A477A"/>
    <w:rsid w:val="00A6329D"/>
    <w:rsid w:val="00B77414"/>
    <w:rsid w:val="00B856BD"/>
    <w:rsid w:val="00BC1811"/>
    <w:rsid w:val="00C83B88"/>
    <w:rsid w:val="00D416B4"/>
    <w:rsid w:val="00E1008F"/>
    <w:rsid w:val="00EA6D28"/>
    <w:rsid w:val="00F45D3A"/>
    <w:rsid w:val="00FF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8"/>
      </w:numPr>
      <w:shd w:val="clear" w:color="auto" w:fill="000000"/>
      <w:spacing w:after="0"/>
      <w:ind w:left="1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4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5"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8"/>
      </w:numPr>
      <w:shd w:val="clear" w:color="auto" w:fill="000000"/>
      <w:spacing w:after="0"/>
      <w:ind w:left="10"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77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624">
      <w:bodyDiv w:val="1"/>
      <w:marLeft w:val="0"/>
      <w:marRight w:val="0"/>
      <w:marTop w:val="0"/>
      <w:marBottom w:val="0"/>
      <w:divBdr>
        <w:top w:val="none" w:sz="0" w:space="0" w:color="auto"/>
        <w:left w:val="none" w:sz="0" w:space="0" w:color="auto"/>
        <w:bottom w:val="none" w:sz="0" w:space="0" w:color="auto"/>
        <w:right w:val="none" w:sz="0" w:space="0" w:color="auto"/>
      </w:divBdr>
    </w:div>
    <w:div w:id="37408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butterworth1@btinterne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WARWICKSHIRE COUNTY COUNCIL</vt:lpstr>
    </vt:vector>
  </TitlesOfParts>
  <Company>Hewlett-Packard Company</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COUNTY COUNCIL</dc:title>
  <dc:creator>WCC</dc:creator>
  <cp:lastModifiedBy>User</cp:lastModifiedBy>
  <cp:revision>6</cp:revision>
  <dcterms:created xsi:type="dcterms:W3CDTF">2019-04-25T15:13:00Z</dcterms:created>
  <dcterms:modified xsi:type="dcterms:W3CDTF">2019-04-25T15:25:00Z</dcterms:modified>
</cp:coreProperties>
</file>