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02" w:rsidRDefault="00E16548" w:rsidP="00532202">
      <w:pPr>
        <w:jc w:val="center"/>
        <w:rPr>
          <w:rFonts w:ascii="Verdana" w:hAnsi="Verdana"/>
          <w:b/>
          <w:sz w:val="24"/>
          <w:szCs w:val="24"/>
        </w:rPr>
      </w:pPr>
      <w:proofErr w:type="spellStart"/>
      <w:r>
        <w:rPr>
          <w:rFonts w:ascii="Verdana" w:hAnsi="Verdana"/>
          <w:b/>
          <w:sz w:val="24"/>
          <w:szCs w:val="24"/>
        </w:rPr>
        <w:t>Wilmcote</w:t>
      </w:r>
      <w:proofErr w:type="spellEnd"/>
      <w:r>
        <w:rPr>
          <w:rFonts w:ascii="Verdana" w:hAnsi="Verdana"/>
          <w:b/>
          <w:sz w:val="24"/>
          <w:szCs w:val="24"/>
        </w:rPr>
        <w:t xml:space="preserve"> and </w:t>
      </w:r>
      <w:proofErr w:type="spellStart"/>
      <w:r>
        <w:rPr>
          <w:rFonts w:ascii="Verdana" w:hAnsi="Verdana"/>
          <w:b/>
          <w:sz w:val="24"/>
          <w:szCs w:val="24"/>
        </w:rPr>
        <w:t>Pathlow</w:t>
      </w:r>
      <w:proofErr w:type="spellEnd"/>
      <w:r w:rsidR="00532202">
        <w:rPr>
          <w:rFonts w:ascii="Verdana" w:hAnsi="Verdana"/>
          <w:b/>
          <w:sz w:val="24"/>
          <w:szCs w:val="24"/>
        </w:rPr>
        <w:t xml:space="preserve"> Neighbourhood Development Plan</w:t>
      </w:r>
    </w:p>
    <w:p w:rsidR="00957E44" w:rsidRDefault="00222500" w:rsidP="00532202">
      <w:pPr>
        <w:jc w:val="center"/>
        <w:rPr>
          <w:rFonts w:ascii="Verdana" w:hAnsi="Verdana"/>
          <w:b/>
          <w:sz w:val="24"/>
          <w:szCs w:val="24"/>
        </w:rPr>
      </w:pPr>
      <w:r w:rsidRPr="00222500">
        <w:rPr>
          <w:rFonts w:ascii="Verdana" w:hAnsi="Verdana"/>
          <w:b/>
          <w:sz w:val="24"/>
          <w:szCs w:val="24"/>
        </w:rPr>
        <w:t xml:space="preserve">Pre-Submission Neighbourhood Plan Regulation 14 Consultation (Neighbourhood Planning (General) </w:t>
      </w:r>
    </w:p>
    <w:p w:rsidR="00222500" w:rsidRDefault="00222500" w:rsidP="00532202">
      <w:pPr>
        <w:jc w:val="center"/>
        <w:rPr>
          <w:rFonts w:ascii="Verdana" w:hAnsi="Verdana"/>
          <w:b/>
          <w:sz w:val="24"/>
          <w:szCs w:val="24"/>
        </w:rPr>
      </w:pPr>
      <w:r w:rsidRPr="00222500">
        <w:rPr>
          <w:rFonts w:ascii="Verdana" w:hAnsi="Verdana"/>
          <w:b/>
          <w:sz w:val="24"/>
          <w:szCs w:val="24"/>
        </w:rPr>
        <w:t>Regulations, 2012</w:t>
      </w:r>
    </w:p>
    <w:p w:rsidR="00980A12" w:rsidRPr="005D5E67" w:rsidRDefault="005D5E67" w:rsidP="00E2443E">
      <w:pPr>
        <w:jc w:val="center"/>
        <w:rPr>
          <w:rFonts w:ascii="Verdana" w:hAnsi="Verdana"/>
          <w:b/>
          <w:sz w:val="24"/>
          <w:szCs w:val="24"/>
        </w:rPr>
      </w:pPr>
      <w:r w:rsidRPr="005D5E67">
        <w:rPr>
          <w:rFonts w:ascii="Verdana" w:hAnsi="Verdana"/>
          <w:b/>
          <w:sz w:val="24"/>
          <w:szCs w:val="24"/>
        </w:rPr>
        <w:t xml:space="preserve">Appendix 1 - </w:t>
      </w:r>
      <w:r w:rsidR="00957E44">
        <w:rPr>
          <w:rFonts w:ascii="Verdana" w:hAnsi="Verdana"/>
          <w:b/>
          <w:sz w:val="24"/>
          <w:szCs w:val="24"/>
        </w:rPr>
        <w:t>C</w:t>
      </w:r>
      <w:r w:rsidRPr="005D5E67">
        <w:rPr>
          <w:rFonts w:ascii="Verdana" w:hAnsi="Verdana"/>
          <w:b/>
          <w:sz w:val="24"/>
          <w:szCs w:val="24"/>
        </w:rPr>
        <w:t>omments from Stratford-on-Avon District Council</w:t>
      </w:r>
    </w:p>
    <w:p w:rsidR="00DA1719" w:rsidRPr="00E6139D" w:rsidRDefault="00E1542A" w:rsidP="00DA1719">
      <w:pPr>
        <w:rPr>
          <w:rFonts w:ascii="Verdana" w:hAnsi="Verdana"/>
          <w:b/>
          <w:sz w:val="20"/>
          <w:szCs w:val="20"/>
        </w:rPr>
      </w:pPr>
      <w:r>
        <w:rPr>
          <w:rFonts w:ascii="Verdana" w:hAnsi="Verdana"/>
          <w:b/>
          <w:sz w:val="20"/>
          <w:szCs w:val="20"/>
        </w:rPr>
        <w:t xml:space="preserve">Policy </w:t>
      </w:r>
      <w:r w:rsidR="00C36CED">
        <w:rPr>
          <w:rFonts w:ascii="Verdana" w:hAnsi="Verdana"/>
          <w:b/>
          <w:sz w:val="20"/>
          <w:szCs w:val="20"/>
        </w:rPr>
        <w:t>related</w:t>
      </w:r>
      <w:r>
        <w:rPr>
          <w:rFonts w:ascii="Verdana" w:hAnsi="Verdana"/>
          <w:b/>
          <w:sz w:val="20"/>
          <w:szCs w:val="20"/>
        </w:rPr>
        <w:t xml:space="preserve"> c</w:t>
      </w:r>
      <w:r w:rsidR="00DA1719" w:rsidRPr="00E6139D">
        <w:rPr>
          <w:rFonts w:ascii="Verdana" w:hAnsi="Verdana"/>
          <w:b/>
          <w:sz w:val="20"/>
          <w:szCs w:val="20"/>
        </w:rPr>
        <w:t>omments</w:t>
      </w:r>
      <w:r w:rsidR="005D5E67">
        <w:rPr>
          <w:rFonts w:ascii="Verdana" w:hAnsi="Verdana"/>
          <w:b/>
          <w:sz w:val="20"/>
          <w:szCs w:val="20"/>
        </w:rPr>
        <w:t>:</w:t>
      </w:r>
    </w:p>
    <w:tbl>
      <w:tblPr>
        <w:tblStyle w:val="TableGrid"/>
        <w:tblW w:w="0" w:type="auto"/>
        <w:tblLayout w:type="fixed"/>
        <w:tblLook w:val="04A0" w:firstRow="1" w:lastRow="0" w:firstColumn="1" w:lastColumn="0" w:noHBand="0" w:noVBand="1"/>
      </w:tblPr>
      <w:tblGrid>
        <w:gridCol w:w="2943"/>
        <w:gridCol w:w="2835"/>
        <w:gridCol w:w="9836"/>
      </w:tblGrid>
      <w:tr w:rsidR="00E6139D" w:rsidRPr="00E6139D" w:rsidTr="00646908">
        <w:tc>
          <w:tcPr>
            <w:tcW w:w="2943" w:type="dxa"/>
            <w:shd w:val="clear" w:color="auto" w:fill="A6A6A6" w:themeFill="background1" w:themeFillShade="A6"/>
          </w:tcPr>
          <w:p w:rsidR="00E6139D" w:rsidRPr="00E6139D" w:rsidRDefault="00A00EEE" w:rsidP="00E6139D">
            <w:pPr>
              <w:jc w:val="center"/>
              <w:rPr>
                <w:rStyle w:val="Strong"/>
                <w:rFonts w:ascii="Verdana" w:hAnsi="Verdana" w:cstheme="minorHAnsi"/>
                <w:sz w:val="20"/>
                <w:szCs w:val="20"/>
              </w:rPr>
            </w:pPr>
            <w:r>
              <w:rPr>
                <w:rStyle w:val="Strong"/>
                <w:rFonts w:ascii="Verdana" w:hAnsi="Verdana" w:cstheme="minorHAnsi"/>
                <w:sz w:val="20"/>
                <w:szCs w:val="20"/>
              </w:rPr>
              <w:t>Section</w:t>
            </w:r>
          </w:p>
        </w:tc>
        <w:tc>
          <w:tcPr>
            <w:tcW w:w="2835" w:type="dxa"/>
            <w:shd w:val="clear" w:color="auto" w:fill="A6A6A6" w:themeFill="background1" w:themeFillShade="A6"/>
          </w:tcPr>
          <w:p w:rsidR="00E6139D" w:rsidRPr="00A00EEE" w:rsidRDefault="00A00EEE" w:rsidP="00A00EEE">
            <w:pPr>
              <w:jc w:val="center"/>
              <w:rPr>
                <w:rStyle w:val="Strong"/>
                <w:rFonts w:ascii="Verdana" w:hAnsi="Verdana" w:cstheme="minorHAnsi"/>
                <w:sz w:val="20"/>
                <w:szCs w:val="20"/>
              </w:rPr>
            </w:pPr>
            <w:r w:rsidRPr="00A00EEE">
              <w:rPr>
                <w:rStyle w:val="Strong"/>
                <w:rFonts w:ascii="Verdana" w:hAnsi="Verdana" w:cstheme="minorHAnsi"/>
                <w:sz w:val="20"/>
                <w:szCs w:val="20"/>
              </w:rPr>
              <w:t>Reference</w:t>
            </w:r>
            <w:r w:rsidR="007E5E9F">
              <w:rPr>
                <w:rStyle w:val="Strong"/>
                <w:rFonts w:ascii="Verdana" w:hAnsi="Verdana" w:cstheme="minorHAnsi"/>
                <w:sz w:val="20"/>
                <w:szCs w:val="20"/>
              </w:rPr>
              <w:t>/</w:t>
            </w:r>
            <w:r w:rsidR="008D1FC0">
              <w:rPr>
                <w:rStyle w:val="Strong"/>
                <w:rFonts w:ascii="Verdana" w:hAnsi="Verdana" w:cstheme="minorHAnsi"/>
                <w:sz w:val="20"/>
                <w:szCs w:val="20"/>
              </w:rPr>
              <w:t xml:space="preserve">NDP </w:t>
            </w:r>
            <w:r w:rsidR="007E5E9F">
              <w:rPr>
                <w:rStyle w:val="Strong"/>
                <w:rFonts w:ascii="Verdana" w:hAnsi="Verdana" w:cstheme="minorHAnsi"/>
                <w:sz w:val="20"/>
                <w:szCs w:val="20"/>
              </w:rPr>
              <w:t>page</w:t>
            </w:r>
          </w:p>
        </w:tc>
        <w:tc>
          <w:tcPr>
            <w:tcW w:w="9836" w:type="dxa"/>
            <w:shd w:val="clear" w:color="auto" w:fill="A6A6A6" w:themeFill="background1" w:themeFillShade="A6"/>
          </w:tcPr>
          <w:p w:rsidR="00E6139D" w:rsidRDefault="00A00EEE" w:rsidP="00A00EEE">
            <w:pPr>
              <w:jc w:val="center"/>
              <w:rPr>
                <w:rFonts w:ascii="Verdana" w:hAnsi="Verdana" w:cstheme="minorHAnsi"/>
                <w:b/>
                <w:sz w:val="20"/>
                <w:szCs w:val="20"/>
              </w:rPr>
            </w:pPr>
            <w:r>
              <w:rPr>
                <w:rFonts w:ascii="Verdana" w:hAnsi="Verdana" w:cstheme="minorHAnsi"/>
                <w:b/>
                <w:sz w:val="20"/>
                <w:szCs w:val="20"/>
              </w:rPr>
              <w:t>Comment</w:t>
            </w:r>
          </w:p>
          <w:p w:rsidR="00E6139D" w:rsidRPr="00E6139D" w:rsidRDefault="00E6139D" w:rsidP="00DA1719">
            <w:pPr>
              <w:jc w:val="both"/>
              <w:rPr>
                <w:rFonts w:ascii="Verdana" w:hAnsi="Verdana" w:cstheme="minorHAnsi"/>
                <w:b/>
                <w:color w:val="1F497D" w:themeColor="text2"/>
                <w:sz w:val="20"/>
                <w:szCs w:val="20"/>
              </w:rPr>
            </w:pPr>
          </w:p>
        </w:tc>
      </w:tr>
      <w:tr w:rsidR="00F16BCB" w:rsidRPr="00E6139D" w:rsidTr="00F16BCB">
        <w:trPr>
          <w:trHeight w:val="396"/>
        </w:trPr>
        <w:tc>
          <w:tcPr>
            <w:tcW w:w="2943" w:type="dxa"/>
          </w:tcPr>
          <w:p w:rsidR="00F16BCB" w:rsidRPr="00F16BCB" w:rsidRDefault="00F16BCB" w:rsidP="001634AF">
            <w:pPr>
              <w:jc w:val="center"/>
              <w:rPr>
                <w:rStyle w:val="Strong"/>
                <w:rFonts w:ascii="Verdana" w:hAnsi="Verdana" w:cstheme="minorHAnsi"/>
                <w:sz w:val="20"/>
                <w:szCs w:val="20"/>
              </w:rPr>
            </w:pPr>
            <w:r>
              <w:rPr>
                <w:rStyle w:val="Strong"/>
                <w:rFonts w:ascii="Verdana" w:hAnsi="Verdana" w:cstheme="minorHAnsi"/>
                <w:sz w:val="20"/>
                <w:szCs w:val="20"/>
              </w:rPr>
              <w:t>General</w:t>
            </w:r>
          </w:p>
        </w:tc>
        <w:tc>
          <w:tcPr>
            <w:tcW w:w="2835" w:type="dxa"/>
          </w:tcPr>
          <w:p w:rsidR="00F16BCB" w:rsidRPr="00F16BCB" w:rsidRDefault="00F16BCB" w:rsidP="003330EE">
            <w:pPr>
              <w:jc w:val="center"/>
              <w:rPr>
                <w:rStyle w:val="Strong"/>
                <w:rFonts w:ascii="Verdana" w:hAnsi="Verdana" w:cstheme="minorHAnsi"/>
                <w:b w:val="0"/>
                <w:sz w:val="20"/>
                <w:szCs w:val="20"/>
              </w:rPr>
            </w:pPr>
            <w:r w:rsidRPr="00F16BCB">
              <w:rPr>
                <w:rStyle w:val="Strong"/>
                <w:rFonts w:ascii="Verdana" w:hAnsi="Verdana" w:cstheme="minorHAnsi"/>
                <w:b w:val="0"/>
                <w:sz w:val="20"/>
                <w:szCs w:val="20"/>
              </w:rPr>
              <w:t>Entire document</w:t>
            </w:r>
          </w:p>
        </w:tc>
        <w:tc>
          <w:tcPr>
            <w:tcW w:w="9836" w:type="dxa"/>
          </w:tcPr>
          <w:p w:rsidR="00F16BCB" w:rsidRPr="00F16BCB" w:rsidRDefault="00F16BCB" w:rsidP="00A82C7C">
            <w:pPr>
              <w:jc w:val="both"/>
              <w:rPr>
                <w:rFonts w:ascii="Verdana" w:hAnsi="Verdana" w:cstheme="minorHAnsi"/>
                <w:sz w:val="20"/>
                <w:szCs w:val="20"/>
              </w:rPr>
            </w:pPr>
            <w:r w:rsidRPr="00F16BCB">
              <w:rPr>
                <w:rFonts w:ascii="Verdana" w:hAnsi="Verdana" w:cstheme="minorHAnsi"/>
                <w:sz w:val="20"/>
                <w:szCs w:val="20"/>
              </w:rPr>
              <w:t>Policies should be distinguished more clearly from other text, e.g. within a box or shaded.</w:t>
            </w:r>
          </w:p>
        </w:tc>
      </w:tr>
      <w:tr w:rsidR="00DE28D7" w:rsidRPr="00E6139D" w:rsidTr="00DE28D7">
        <w:trPr>
          <w:trHeight w:val="631"/>
        </w:trPr>
        <w:tc>
          <w:tcPr>
            <w:tcW w:w="2943" w:type="dxa"/>
          </w:tcPr>
          <w:p w:rsidR="00DE28D7" w:rsidRDefault="00DE28D7" w:rsidP="001634AF">
            <w:pPr>
              <w:jc w:val="center"/>
              <w:rPr>
                <w:rStyle w:val="Strong"/>
                <w:rFonts w:ascii="Verdana" w:hAnsi="Verdana" w:cstheme="minorHAnsi"/>
                <w:sz w:val="20"/>
                <w:szCs w:val="20"/>
              </w:rPr>
            </w:pPr>
            <w:r w:rsidRPr="00DE28D7">
              <w:rPr>
                <w:rStyle w:val="Strong"/>
                <w:rFonts w:ascii="Verdana" w:hAnsi="Verdana" w:cstheme="minorHAnsi"/>
                <w:sz w:val="20"/>
                <w:szCs w:val="20"/>
              </w:rPr>
              <w:t>Section 7 - Policies</w:t>
            </w:r>
          </w:p>
        </w:tc>
        <w:tc>
          <w:tcPr>
            <w:tcW w:w="2835" w:type="dxa"/>
          </w:tcPr>
          <w:p w:rsidR="00DE28D7" w:rsidRDefault="00DE28D7"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WP1 (p.22)</w:t>
            </w:r>
          </w:p>
        </w:tc>
        <w:tc>
          <w:tcPr>
            <w:tcW w:w="9836" w:type="dxa"/>
          </w:tcPr>
          <w:p w:rsidR="00DE28D7" w:rsidRPr="00203F1C" w:rsidRDefault="00DE28D7" w:rsidP="00DE28D7">
            <w:pPr>
              <w:jc w:val="both"/>
              <w:rPr>
                <w:rFonts w:ascii="Verdana" w:hAnsi="Verdana" w:cstheme="minorHAnsi"/>
                <w:sz w:val="20"/>
                <w:szCs w:val="20"/>
              </w:rPr>
            </w:pPr>
            <w:r>
              <w:rPr>
                <w:rFonts w:ascii="Verdana" w:hAnsi="Verdana" w:cstheme="minorHAnsi"/>
                <w:sz w:val="20"/>
                <w:szCs w:val="20"/>
              </w:rPr>
              <w:t>Second paragraph - g</w:t>
            </w:r>
            <w:r w:rsidRPr="00DE28D7">
              <w:rPr>
                <w:rFonts w:ascii="Verdana" w:hAnsi="Verdana" w:cstheme="minorHAnsi"/>
                <w:sz w:val="20"/>
                <w:szCs w:val="20"/>
              </w:rPr>
              <w:t>iven the status of the SSSI, should consideration be given to any exception</w:t>
            </w:r>
            <w:r>
              <w:rPr>
                <w:rFonts w:ascii="Verdana" w:hAnsi="Verdana" w:cstheme="minorHAnsi"/>
                <w:sz w:val="20"/>
                <w:szCs w:val="20"/>
              </w:rPr>
              <w:t xml:space="preserve"> being appropriate in terms of potentially developing this site</w:t>
            </w:r>
            <w:r w:rsidRPr="00DE28D7">
              <w:rPr>
                <w:rFonts w:ascii="Verdana" w:hAnsi="Verdana" w:cstheme="minorHAnsi"/>
                <w:sz w:val="20"/>
                <w:szCs w:val="20"/>
              </w:rPr>
              <w:t>?</w:t>
            </w:r>
          </w:p>
        </w:tc>
      </w:tr>
      <w:tr w:rsidR="002A5EC4" w:rsidRPr="00E6139D" w:rsidTr="008D1FC0">
        <w:trPr>
          <w:trHeight w:val="841"/>
        </w:trPr>
        <w:tc>
          <w:tcPr>
            <w:tcW w:w="2943" w:type="dxa"/>
          </w:tcPr>
          <w:p w:rsidR="002A5EC4" w:rsidRPr="008D1FC0" w:rsidRDefault="008D1FC0" w:rsidP="001634AF">
            <w:pPr>
              <w:jc w:val="center"/>
              <w:rPr>
                <w:rStyle w:val="Strong"/>
                <w:rFonts w:ascii="Verdana" w:hAnsi="Verdana" w:cstheme="minorHAnsi"/>
                <w:sz w:val="20"/>
                <w:szCs w:val="20"/>
              </w:rPr>
            </w:pPr>
            <w:r>
              <w:rPr>
                <w:rStyle w:val="Strong"/>
                <w:rFonts w:ascii="Verdana" w:hAnsi="Verdana" w:cstheme="minorHAnsi"/>
                <w:sz w:val="20"/>
                <w:szCs w:val="20"/>
              </w:rPr>
              <w:t>Section 7 - Policies</w:t>
            </w:r>
          </w:p>
        </w:tc>
        <w:tc>
          <w:tcPr>
            <w:tcW w:w="2835" w:type="dxa"/>
          </w:tcPr>
          <w:p w:rsidR="002A5EC4" w:rsidRPr="008D1FC0" w:rsidRDefault="008D1FC0"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WP1 (p.22)</w:t>
            </w:r>
          </w:p>
        </w:tc>
        <w:tc>
          <w:tcPr>
            <w:tcW w:w="9836" w:type="dxa"/>
          </w:tcPr>
          <w:p w:rsidR="002A5EC4" w:rsidRPr="008D1FC0" w:rsidRDefault="004E6353" w:rsidP="004E6353">
            <w:pPr>
              <w:jc w:val="both"/>
              <w:rPr>
                <w:rFonts w:ascii="Verdana" w:hAnsi="Verdana" w:cstheme="minorHAnsi"/>
                <w:sz w:val="20"/>
                <w:szCs w:val="20"/>
              </w:rPr>
            </w:pPr>
            <w:r>
              <w:rPr>
                <w:rFonts w:ascii="Verdana" w:hAnsi="Verdana" w:cstheme="minorHAnsi"/>
                <w:sz w:val="20"/>
                <w:szCs w:val="20"/>
              </w:rPr>
              <w:t>The f</w:t>
            </w:r>
            <w:r w:rsidR="00203F1C" w:rsidRPr="00203F1C">
              <w:rPr>
                <w:rFonts w:ascii="Verdana" w:hAnsi="Verdana" w:cstheme="minorHAnsi"/>
                <w:sz w:val="20"/>
                <w:szCs w:val="20"/>
              </w:rPr>
              <w:t xml:space="preserve">inal sentence may need to be applied more flexibly as a suitable form of compensation may not always be available in the parish itself – suggest it reads ‘within or in close proximity to </w:t>
            </w:r>
            <w:proofErr w:type="spellStart"/>
            <w:r w:rsidR="00203F1C" w:rsidRPr="00203F1C">
              <w:rPr>
                <w:rFonts w:ascii="Verdana" w:hAnsi="Verdana" w:cstheme="minorHAnsi"/>
                <w:sz w:val="20"/>
                <w:szCs w:val="20"/>
              </w:rPr>
              <w:t>Wilmcote</w:t>
            </w:r>
            <w:proofErr w:type="spellEnd"/>
            <w:r w:rsidR="00203F1C" w:rsidRPr="00203F1C">
              <w:rPr>
                <w:rFonts w:ascii="Verdana" w:hAnsi="Verdana" w:cstheme="minorHAnsi"/>
                <w:sz w:val="20"/>
                <w:szCs w:val="20"/>
              </w:rPr>
              <w:t xml:space="preserve"> Parish’</w:t>
            </w:r>
            <w:r w:rsidR="00DE28D7">
              <w:rPr>
                <w:rFonts w:ascii="Verdana" w:hAnsi="Verdana" w:cstheme="minorHAnsi"/>
                <w:sz w:val="20"/>
                <w:szCs w:val="20"/>
              </w:rPr>
              <w:t>.</w:t>
            </w:r>
          </w:p>
        </w:tc>
      </w:tr>
      <w:tr w:rsidR="002D0474" w:rsidRPr="00E6139D" w:rsidTr="005A5DD1">
        <w:trPr>
          <w:trHeight w:val="827"/>
        </w:trPr>
        <w:tc>
          <w:tcPr>
            <w:tcW w:w="2943" w:type="dxa"/>
          </w:tcPr>
          <w:p w:rsidR="002D0474" w:rsidRDefault="002D0474" w:rsidP="001634AF">
            <w:pPr>
              <w:jc w:val="center"/>
              <w:rPr>
                <w:rStyle w:val="Strong"/>
                <w:rFonts w:ascii="Verdana" w:hAnsi="Verdana" w:cstheme="minorHAnsi"/>
                <w:sz w:val="20"/>
                <w:szCs w:val="20"/>
              </w:rPr>
            </w:pPr>
            <w:r w:rsidRPr="002D0474">
              <w:rPr>
                <w:rStyle w:val="Strong"/>
                <w:rFonts w:ascii="Verdana" w:hAnsi="Verdana" w:cstheme="minorHAnsi"/>
                <w:sz w:val="20"/>
                <w:szCs w:val="20"/>
              </w:rPr>
              <w:t>Section 7 - Policies</w:t>
            </w:r>
          </w:p>
        </w:tc>
        <w:tc>
          <w:tcPr>
            <w:tcW w:w="2835" w:type="dxa"/>
          </w:tcPr>
          <w:p w:rsidR="002D0474" w:rsidRDefault="002D0474"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WP1: Background/Justification (p.23)</w:t>
            </w:r>
          </w:p>
        </w:tc>
        <w:tc>
          <w:tcPr>
            <w:tcW w:w="9836" w:type="dxa"/>
          </w:tcPr>
          <w:p w:rsidR="002D0474" w:rsidRPr="00203F1C" w:rsidRDefault="007B3BE4" w:rsidP="007B3BE4">
            <w:pPr>
              <w:jc w:val="both"/>
              <w:rPr>
                <w:rFonts w:ascii="Verdana" w:hAnsi="Verdana" w:cstheme="minorHAnsi"/>
                <w:sz w:val="20"/>
                <w:szCs w:val="20"/>
              </w:rPr>
            </w:pPr>
            <w:r>
              <w:rPr>
                <w:rFonts w:ascii="Verdana" w:hAnsi="Verdana" w:cstheme="minorHAnsi"/>
                <w:sz w:val="20"/>
                <w:szCs w:val="20"/>
              </w:rPr>
              <w:t>Suggest adding some text to explain to the reader the difference between identified Local Wildlife Sites and potential Local Wildlife Sites</w:t>
            </w:r>
            <w:r w:rsidR="005A5DD1">
              <w:rPr>
                <w:rFonts w:ascii="Verdana" w:hAnsi="Verdana" w:cstheme="minorHAnsi"/>
                <w:sz w:val="20"/>
                <w:szCs w:val="20"/>
              </w:rPr>
              <w:t>, particularly in terms of designation or status.</w:t>
            </w:r>
            <w:r w:rsidR="0011687F">
              <w:rPr>
                <w:rFonts w:ascii="Verdana" w:hAnsi="Verdana" w:cstheme="minorHAnsi"/>
                <w:sz w:val="20"/>
                <w:szCs w:val="20"/>
              </w:rPr>
              <w:t xml:space="preserve"> </w:t>
            </w:r>
          </w:p>
        </w:tc>
      </w:tr>
      <w:tr w:rsidR="00020C8F" w:rsidRPr="00E6139D" w:rsidTr="00203F1C">
        <w:trPr>
          <w:trHeight w:val="556"/>
        </w:trPr>
        <w:tc>
          <w:tcPr>
            <w:tcW w:w="2943" w:type="dxa"/>
          </w:tcPr>
          <w:p w:rsidR="00020C8F" w:rsidRPr="008D1FC0" w:rsidRDefault="00740805" w:rsidP="001634AF">
            <w:pPr>
              <w:jc w:val="center"/>
              <w:rPr>
                <w:rStyle w:val="Strong"/>
                <w:rFonts w:ascii="Verdana" w:hAnsi="Verdana" w:cstheme="minorHAnsi"/>
                <w:sz w:val="20"/>
                <w:szCs w:val="20"/>
              </w:rPr>
            </w:pPr>
            <w:r w:rsidRPr="00740805">
              <w:rPr>
                <w:rStyle w:val="Strong"/>
                <w:rFonts w:ascii="Verdana" w:hAnsi="Verdana" w:cstheme="minorHAnsi"/>
                <w:sz w:val="20"/>
                <w:szCs w:val="20"/>
              </w:rPr>
              <w:t>Section 7 - Policies</w:t>
            </w:r>
          </w:p>
        </w:tc>
        <w:tc>
          <w:tcPr>
            <w:tcW w:w="2835" w:type="dxa"/>
          </w:tcPr>
          <w:p w:rsidR="00020C8F" w:rsidRPr="008D1FC0" w:rsidRDefault="00203F1C"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WP1</w:t>
            </w:r>
            <w:r w:rsidR="007165CA">
              <w:rPr>
                <w:rStyle w:val="Strong"/>
                <w:rFonts w:ascii="Verdana" w:hAnsi="Verdana" w:cstheme="minorHAnsi"/>
                <w:b w:val="0"/>
                <w:sz w:val="20"/>
                <w:szCs w:val="20"/>
              </w:rPr>
              <w:t>:</w:t>
            </w:r>
            <w:r>
              <w:rPr>
                <w:rStyle w:val="Strong"/>
                <w:rFonts w:ascii="Verdana" w:hAnsi="Verdana" w:cstheme="minorHAnsi"/>
                <w:b w:val="0"/>
                <w:sz w:val="20"/>
                <w:szCs w:val="20"/>
              </w:rPr>
              <w:t xml:space="preserve"> Figure 6 (p.24)</w:t>
            </w:r>
          </w:p>
        </w:tc>
        <w:tc>
          <w:tcPr>
            <w:tcW w:w="9836" w:type="dxa"/>
          </w:tcPr>
          <w:p w:rsidR="00020C8F" w:rsidRPr="008D1FC0" w:rsidRDefault="00203F1C" w:rsidP="000D4856">
            <w:pPr>
              <w:jc w:val="both"/>
              <w:rPr>
                <w:rFonts w:ascii="Verdana" w:hAnsi="Verdana" w:cstheme="minorHAnsi"/>
                <w:sz w:val="20"/>
                <w:szCs w:val="20"/>
              </w:rPr>
            </w:pPr>
            <w:r w:rsidRPr="00203F1C">
              <w:rPr>
                <w:rFonts w:ascii="Verdana" w:hAnsi="Verdana" w:cstheme="minorHAnsi"/>
                <w:sz w:val="20"/>
                <w:szCs w:val="20"/>
              </w:rPr>
              <w:t>Stratford-upo</w:t>
            </w:r>
            <w:r>
              <w:rPr>
                <w:rFonts w:ascii="Verdana" w:hAnsi="Verdana" w:cstheme="minorHAnsi"/>
                <w:sz w:val="20"/>
                <w:szCs w:val="20"/>
              </w:rPr>
              <w:t xml:space="preserve">n-Avon Canal is not shown as a Potential </w:t>
            </w:r>
            <w:r w:rsidRPr="00203F1C">
              <w:rPr>
                <w:rFonts w:ascii="Verdana" w:hAnsi="Verdana" w:cstheme="minorHAnsi"/>
                <w:sz w:val="20"/>
                <w:szCs w:val="20"/>
              </w:rPr>
              <w:t>LWS although it is listed on previous page.</w:t>
            </w:r>
          </w:p>
        </w:tc>
      </w:tr>
      <w:tr w:rsidR="00A6153B" w:rsidRPr="00E6139D" w:rsidTr="00870EA2">
        <w:trPr>
          <w:trHeight w:val="1309"/>
        </w:trPr>
        <w:tc>
          <w:tcPr>
            <w:tcW w:w="2943" w:type="dxa"/>
          </w:tcPr>
          <w:p w:rsidR="00A6153B" w:rsidRPr="00740805" w:rsidRDefault="00A6153B" w:rsidP="001634AF">
            <w:pPr>
              <w:jc w:val="center"/>
              <w:rPr>
                <w:rStyle w:val="Strong"/>
                <w:rFonts w:ascii="Verdana" w:hAnsi="Verdana" w:cstheme="minorHAnsi"/>
                <w:sz w:val="20"/>
                <w:szCs w:val="20"/>
              </w:rPr>
            </w:pPr>
            <w:r w:rsidRPr="00A6153B">
              <w:rPr>
                <w:rStyle w:val="Strong"/>
                <w:rFonts w:ascii="Verdana" w:hAnsi="Verdana" w:cstheme="minorHAnsi"/>
                <w:sz w:val="20"/>
                <w:szCs w:val="20"/>
              </w:rPr>
              <w:t>Section 7 - Policies</w:t>
            </w:r>
          </w:p>
        </w:tc>
        <w:tc>
          <w:tcPr>
            <w:tcW w:w="2835" w:type="dxa"/>
          </w:tcPr>
          <w:p w:rsidR="00A6153B" w:rsidRDefault="00A6153B"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WP2</w:t>
            </w:r>
          </w:p>
        </w:tc>
        <w:tc>
          <w:tcPr>
            <w:tcW w:w="9836" w:type="dxa"/>
          </w:tcPr>
          <w:p w:rsidR="00A6153B" w:rsidRPr="00203F1C" w:rsidRDefault="00A6153B" w:rsidP="00870EA2">
            <w:pPr>
              <w:jc w:val="both"/>
              <w:rPr>
                <w:rFonts w:ascii="Verdana" w:hAnsi="Verdana" w:cstheme="minorHAnsi"/>
                <w:sz w:val="20"/>
                <w:szCs w:val="20"/>
              </w:rPr>
            </w:pPr>
            <w:r w:rsidRPr="00A6153B">
              <w:rPr>
                <w:rFonts w:ascii="Verdana" w:hAnsi="Verdana" w:cstheme="minorHAnsi"/>
                <w:sz w:val="20"/>
                <w:szCs w:val="20"/>
              </w:rPr>
              <w:t>Paragraph 2 – How will potential applicants know whether the development site could potentially impact on important geology?</w:t>
            </w:r>
            <w:r>
              <w:rPr>
                <w:rFonts w:ascii="Verdana" w:hAnsi="Verdana" w:cstheme="minorHAnsi"/>
                <w:sz w:val="20"/>
                <w:szCs w:val="20"/>
              </w:rPr>
              <w:t xml:space="preserve"> </w:t>
            </w:r>
            <w:r w:rsidRPr="00A6153B">
              <w:rPr>
                <w:rFonts w:ascii="Verdana" w:hAnsi="Verdana" w:cstheme="minorHAnsi"/>
                <w:sz w:val="20"/>
                <w:szCs w:val="20"/>
              </w:rPr>
              <w:t xml:space="preserve">Are you expecting relevant surveys to be submitted with planning applications? Given the relatively small-scale nature of development that will be achieved in the village in accordance with para 89 of the NPPF, it </w:t>
            </w:r>
            <w:r w:rsidR="00870EA2">
              <w:rPr>
                <w:rFonts w:ascii="Verdana" w:hAnsi="Verdana" w:cstheme="minorHAnsi"/>
                <w:sz w:val="20"/>
                <w:szCs w:val="20"/>
              </w:rPr>
              <w:t xml:space="preserve">is considered </w:t>
            </w:r>
            <w:r w:rsidRPr="00A6153B">
              <w:rPr>
                <w:rFonts w:ascii="Verdana" w:hAnsi="Verdana" w:cstheme="minorHAnsi"/>
                <w:sz w:val="20"/>
                <w:szCs w:val="20"/>
              </w:rPr>
              <w:t>too onerous to insist on the inclusion of such repo</w:t>
            </w:r>
            <w:r>
              <w:rPr>
                <w:rFonts w:ascii="Verdana" w:hAnsi="Verdana" w:cstheme="minorHAnsi"/>
                <w:sz w:val="20"/>
                <w:szCs w:val="20"/>
              </w:rPr>
              <w:t>rts for individual applications of a minor nature.</w:t>
            </w:r>
          </w:p>
        </w:tc>
      </w:tr>
      <w:tr w:rsidR="001D329B" w:rsidRPr="00E6139D" w:rsidTr="001D329B">
        <w:trPr>
          <w:trHeight w:val="1019"/>
        </w:trPr>
        <w:tc>
          <w:tcPr>
            <w:tcW w:w="2943" w:type="dxa"/>
          </w:tcPr>
          <w:p w:rsidR="001D329B" w:rsidRPr="00A6153B" w:rsidRDefault="001D329B" w:rsidP="001634AF">
            <w:pPr>
              <w:jc w:val="center"/>
              <w:rPr>
                <w:rStyle w:val="Strong"/>
                <w:rFonts w:ascii="Verdana" w:hAnsi="Verdana" w:cstheme="minorHAnsi"/>
                <w:sz w:val="20"/>
                <w:szCs w:val="20"/>
              </w:rPr>
            </w:pPr>
            <w:r w:rsidRPr="001D329B">
              <w:rPr>
                <w:rStyle w:val="Strong"/>
                <w:rFonts w:ascii="Verdana" w:hAnsi="Verdana" w:cstheme="minorHAnsi"/>
                <w:sz w:val="20"/>
                <w:szCs w:val="20"/>
              </w:rPr>
              <w:t>Section 7 - Policies</w:t>
            </w:r>
          </w:p>
        </w:tc>
        <w:tc>
          <w:tcPr>
            <w:tcW w:w="2835" w:type="dxa"/>
          </w:tcPr>
          <w:p w:rsidR="001D329B" w:rsidRDefault="001D329B"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WP3 (p.26)</w:t>
            </w:r>
          </w:p>
        </w:tc>
        <w:tc>
          <w:tcPr>
            <w:tcW w:w="9836" w:type="dxa"/>
          </w:tcPr>
          <w:p w:rsidR="001D329B" w:rsidRPr="00A6153B" w:rsidRDefault="001D329B" w:rsidP="007D0DA2">
            <w:pPr>
              <w:jc w:val="both"/>
              <w:rPr>
                <w:rFonts w:ascii="Verdana" w:hAnsi="Verdana" w:cstheme="minorHAnsi"/>
                <w:sz w:val="20"/>
                <w:szCs w:val="20"/>
              </w:rPr>
            </w:pPr>
            <w:r>
              <w:rPr>
                <w:rFonts w:ascii="Verdana" w:hAnsi="Verdana" w:cstheme="minorHAnsi"/>
                <w:sz w:val="20"/>
                <w:szCs w:val="20"/>
              </w:rPr>
              <w:t>Criterion (b)</w:t>
            </w:r>
            <w:r w:rsidR="007D0DA2">
              <w:rPr>
                <w:rFonts w:ascii="Verdana" w:hAnsi="Verdana" w:cstheme="minorHAnsi"/>
                <w:sz w:val="20"/>
                <w:szCs w:val="20"/>
              </w:rPr>
              <w:t xml:space="preserve"> – r</w:t>
            </w:r>
            <w:r>
              <w:rPr>
                <w:rFonts w:ascii="Verdana" w:hAnsi="Verdana" w:cstheme="minorHAnsi"/>
                <w:sz w:val="20"/>
                <w:szCs w:val="20"/>
              </w:rPr>
              <w:t xml:space="preserve">eplace the word ‘permitted’ with ‘supported’ for consistency with the other policies within the Plan. Additionally, it is unclear what </w:t>
            </w:r>
            <w:r w:rsidRPr="001D329B">
              <w:rPr>
                <w:rFonts w:ascii="Verdana" w:hAnsi="Verdana" w:cstheme="minorHAnsi"/>
                <w:sz w:val="20"/>
                <w:szCs w:val="20"/>
              </w:rPr>
              <w:t>is meant by the phrase “</w:t>
            </w:r>
            <w:r>
              <w:rPr>
                <w:rFonts w:ascii="Verdana" w:hAnsi="Verdana" w:cstheme="minorHAnsi"/>
                <w:sz w:val="20"/>
                <w:szCs w:val="20"/>
              </w:rPr>
              <w:t xml:space="preserve">when development is permitted, this </w:t>
            </w:r>
            <w:r w:rsidRPr="001D329B">
              <w:rPr>
                <w:rFonts w:ascii="Verdana" w:hAnsi="Verdana" w:cstheme="minorHAnsi"/>
                <w:sz w:val="20"/>
                <w:szCs w:val="20"/>
              </w:rPr>
              <w:t>will be conditioned in such a way</w:t>
            </w:r>
            <w:r>
              <w:rPr>
                <w:rFonts w:ascii="Verdana" w:hAnsi="Verdana" w:cstheme="minorHAnsi"/>
                <w:sz w:val="20"/>
                <w:szCs w:val="20"/>
              </w:rPr>
              <w:t xml:space="preserve"> so</w:t>
            </w:r>
            <w:r w:rsidRPr="001D329B">
              <w:rPr>
                <w:rFonts w:ascii="Verdana" w:hAnsi="Verdana" w:cstheme="minorHAnsi"/>
                <w:sz w:val="20"/>
                <w:szCs w:val="20"/>
              </w:rPr>
              <w:t xml:space="preserve"> to ensure the </w:t>
            </w:r>
            <w:r>
              <w:rPr>
                <w:rFonts w:ascii="Verdana" w:hAnsi="Verdana" w:cstheme="minorHAnsi"/>
                <w:sz w:val="20"/>
                <w:szCs w:val="20"/>
              </w:rPr>
              <w:t>development</w:t>
            </w:r>
            <w:r w:rsidRPr="001D329B">
              <w:rPr>
                <w:rFonts w:ascii="Verdana" w:hAnsi="Verdana" w:cstheme="minorHAnsi"/>
                <w:sz w:val="20"/>
                <w:szCs w:val="20"/>
              </w:rPr>
              <w:t xml:space="preserve"> </w:t>
            </w:r>
            <w:r>
              <w:rPr>
                <w:rFonts w:ascii="Verdana" w:hAnsi="Verdana" w:cstheme="minorHAnsi"/>
                <w:sz w:val="20"/>
                <w:szCs w:val="20"/>
              </w:rPr>
              <w:t>takes place</w:t>
            </w:r>
            <w:r w:rsidRPr="001D329B">
              <w:rPr>
                <w:rFonts w:ascii="Verdana" w:hAnsi="Verdana" w:cstheme="minorHAnsi"/>
                <w:sz w:val="20"/>
                <w:szCs w:val="20"/>
              </w:rPr>
              <w:t xml:space="preserve"> after the loss or harm has occurred”</w:t>
            </w:r>
            <w:r>
              <w:rPr>
                <w:rFonts w:ascii="Verdana" w:hAnsi="Verdana" w:cstheme="minorHAnsi"/>
                <w:sz w:val="20"/>
                <w:szCs w:val="20"/>
              </w:rPr>
              <w:t xml:space="preserve">. This requires clarification. </w:t>
            </w:r>
          </w:p>
        </w:tc>
      </w:tr>
      <w:tr w:rsidR="000D4856" w:rsidRPr="00E6139D" w:rsidTr="00C347BC">
        <w:trPr>
          <w:trHeight w:val="1019"/>
        </w:trPr>
        <w:tc>
          <w:tcPr>
            <w:tcW w:w="2943" w:type="dxa"/>
          </w:tcPr>
          <w:p w:rsidR="000D4856" w:rsidRPr="008D1FC0" w:rsidRDefault="00740805" w:rsidP="001634AF">
            <w:pPr>
              <w:jc w:val="center"/>
              <w:rPr>
                <w:rStyle w:val="Strong"/>
                <w:rFonts w:ascii="Verdana" w:hAnsi="Verdana" w:cstheme="minorHAnsi"/>
                <w:sz w:val="20"/>
                <w:szCs w:val="20"/>
              </w:rPr>
            </w:pPr>
            <w:r w:rsidRPr="00740805">
              <w:rPr>
                <w:rStyle w:val="Strong"/>
                <w:rFonts w:ascii="Verdana" w:hAnsi="Verdana" w:cstheme="minorHAnsi"/>
                <w:sz w:val="20"/>
                <w:szCs w:val="20"/>
              </w:rPr>
              <w:t>Section 7 - Policies</w:t>
            </w:r>
          </w:p>
        </w:tc>
        <w:tc>
          <w:tcPr>
            <w:tcW w:w="2835" w:type="dxa"/>
          </w:tcPr>
          <w:p w:rsidR="000D4856" w:rsidRPr="008D1FC0" w:rsidRDefault="00740805"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WP5</w:t>
            </w:r>
            <w:r w:rsidR="007165CA">
              <w:rPr>
                <w:rStyle w:val="Strong"/>
                <w:rFonts w:ascii="Verdana" w:hAnsi="Verdana" w:cstheme="minorHAnsi"/>
                <w:b w:val="0"/>
                <w:sz w:val="20"/>
                <w:szCs w:val="20"/>
              </w:rPr>
              <w:t>:</w:t>
            </w:r>
            <w:r>
              <w:rPr>
                <w:rStyle w:val="Strong"/>
                <w:rFonts w:ascii="Verdana" w:hAnsi="Verdana" w:cstheme="minorHAnsi"/>
                <w:b w:val="0"/>
                <w:sz w:val="20"/>
                <w:szCs w:val="20"/>
              </w:rPr>
              <w:t xml:space="preserve"> Background/Justification (p.30)</w:t>
            </w:r>
          </w:p>
        </w:tc>
        <w:tc>
          <w:tcPr>
            <w:tcW w:w="9836" w:type="dxa"/>
          </w:tcPr>
          <w:p w:rsidR="004A739E" w:rsidRPr="008D1FC0" w:rsidRDefault="00740805" w:rsidP="002C5419">
            <w:pPr>
              <w:jc w:val="both"/>
              <w:rPr>
                <w:rFonts w:ascii="Verdana" w:hAnsi="Verdana" w:cstheme="minorHAnsi"/>
                <w:sz w:val="20"/>
                <w:szCs w:val="20"/>
              </w:rPr>
            </w:pPr>
            <w:r>
              <w:rPr>
                <w:rFonts w:ascii="Verdana" w:hAnsi="Verdana" w:cstheme="minorHAnsi"/>
                <w:sz w:val="20"/>
                <w:szCs w:val="20"/>
              </w:rPr>
              <w:t xml:space="preserve">The </w:t>
            </w:r>
            <w:r w:rsidRPr="00740805">
              <w:rPr>
                <w:rFonts w:ascii="Verdana" w:hAnsi="Verdana" w:cstheme="minorHAnsi"/>
                <w:sz w:val="20"/>
                <w:szCs w:val="20"/>
              </w:rPr>
              <w:t>subject covered by this policy is not specifically related to Green Belt designation and its purposes as identified in para. 80 in the NPPF. Green Belt is not a landscape designation per se. Basis of policy should be landscape character/quality/sensitivity and this should be set out in the supporting text.</w:t>
            </w:r>
          </w:p>
        </w:tc>
      </w:tr>
      <w:tr w:rsidR="00CE4925" w:rsidRPr="00E6139D" w:rsidTr="004D294B">
        <w:trPr>
          <w:trHeight w:val="577"/>
        </w:trPr>
        <w:tc>
          <w:tcPr>
            <w:tcW w:w="2943" w:type="dxa"/>
          </w:tcPr>
          <w:p w:rsidR="00CE4925" w:rsidRPr="008D1FC0" w:rsidRDefault="004D294B" w:rsidP="001634AF">
            <w:pPr>
              <w:jc w:val="center"/>
              <w:rPr>
                <w:rStyle w:val="Strong"/>
                <w:rFonts w:ascii="Verdana" w:hAnsi="Verdana" w:cstheme="minorHAnsi"/>
                <w:sz w:val="20"/>
                <w:szCs w:val="20"/>
              </w:rPr>
            </w:pPr>
            <w:r w:rsidRPr="004D294B">
              <w:rPr>
                <w:rStyle w:val="Strong"/>
                <w:rFonts w:ascii="Verdana" w:hAnsi="Verdana" w:cstheme="minorHAnsi"/>
                <w:sz w:val="20"/>
                <w:szCs w:val="20"/>
              </w:rPr>
              <w:lastRenderedPageBreak/>
              <w:t>Section 7 - Policies</w:t>
            </w:r>
          </w:p>
        </w:tc>
        <w:tc>
          <w:tcPr>
            <w:tcW w:w="2835" w:type="dxa"/>
          </w:tcPr>
          <w:p w:rsidR="00CE4925" w:rsidRPr="008D1FC0" w:rsidRDefault="004D294B" w:rsidP="007165CA">
            <w:pPr>
              <w:jc w:val="center"/>
              <w:rPr>
                <w:rStyle w:val="Strong"/>
                <w:rFonts w:ascii="Verdana" w:hAnsi="Verdana" w:cstheme="minorHAnsi"/>
                <w:b w:val="0"/>
                <w:sz w:val="20"/>
                <w:szCs w:val="20"/>
              </w:rPr>
            </w:pPr>
            <w:r>
              <w:rPr>
                <w:rStyle w:val="Strong"/>
                <w:rFonts w:ascii="Verdana" w:hAnsi="Verdana" w:cstheme="minorHAnsi"/>
                <w:b w:val="0"/>
                <w:sz w:val="20"/>
                <w:szCs w:val="20"/>
              </w:rPr>
              <w:t>Policy WP6</w:t>
            </w:r>
            <w:r w:rsidR="007165CA">
              <w:rPr>
                <w:rStyle w:val="Strong"/>
                <w:rFonts w:ascii="Verdana" w:hAnsi="Verdana" w:cstheme="minorHAnsi"/>
                <w:b w:val="0"/>
                <w:sz w:val="20"/>
                <w:szCs w:val="20"/>
              </w:rPr>
              <w:t>:</w:t>
            </w:r>
            <w:r>
              <w:rPr>
                <w:rStyle w:val="Strong"/>
                <w:rFonts w:ascii="Verdana" w:hAnsi="Verdana" w:cstheme="minorHAnsi"/>
                <w:b w:val="0"/>
                <w:sz w:val="20"/>
                <w:szCs w:val="20"/>
              </w:rPr>
              <w:t xml:space="preserve"> Figure 8 (p.32)</w:t>
            </w:r>
          </w:p>
        </w:tc>
        <w:tc>
          <w:tcPr>
            <w:tcW w:w="9836" w:type="dxa"/>
          </w:tcPr>
          <w:p w:rsidR="00CE4925" w:rsidRPr="008D1FC0" w:rsidRDefault="004D294B" w:rsidP="00CE4925">
            <w:pPr>
              <w:jc w:val="both"/>
              <w:rPr>
                <w:rFonts w:ascii="Verdana" w:hAnsi="Verdana" w:cstheme="minorHAnsi"/>
                <w:sz w:val="20"/>
                <w:szCs w:val="20"/>
              </w:rPr>
            </w:pPr>
            <w:r w:rsidRPr="004D294B">
              <w:rPr>
                <w:rFonts w:ascii="Verdana" w:hAnsi="Verdana" w:cstheme="minorHAnsi"/>
                <w:sz w:val="20"/>
                <w:szCs w:val="20"/>
              </w:rPr>
              <w:t xml:space="preserve">Reference numbers </w:t>
            </w:r>
            <w:r>
              <w:rPr>
                <w:rFonts w:ascii="Verdana" w:hAnsi="Verdana" w:cstheme="minorHAnsi"/>
                <w:sz w:val="20"/>
                <w:szCs w:val="20"/>
              </w:rPr>
              <w:t xml:space="preserve">on the map </w:t>
            </w:r>
            <w:r w:rsidRPr="004D294B">
              <w:rPr>
                <w:rFonts w:ascii="Verdana" w:hAnsi="Verdana" w:cstheme="minorHAnsi"/>
                <w:sz w:val="20"/>
                <w:szCs w:val="20"/>
              </w:rPr>
              <w:t>don’t always correlate</w:t>
            </w:r>
            <w:r>
              <w:rPr>
                <w:rFonts w:ascii="Verdana" w:hAnsi="Verdana" w:cstheme="minorHAnsi"/>
                <w:sz w:val="20"/>
                <w:szCs w:val="20"/>
              </w:rPr>
              <w:t xml:space="preserve"> with the list of views set out in the policy text</w:t>
            </w:r>
            <w:r w:rsidRPr="004D294B">
              <w:rPr>
                <w:rFonts w:ascii="Verdana" w:hAnsi="Verdana" w:cstheme="minorHAnsi"/>
                <w:sz w:val="20"/>
                <w:szCs w:val="20"/>
              </w:rPr>
              <w:t>, e</w:t>
            </w:r>
            <w:r>
              <w:rPr>
                <w:rFonts w:ascii="Verdana" w:hAnsi="Verdana" w:cstheme="minorHAnsi"/>
                <w:sz w:val="20"/>
                <w:szCs w:val="20"/>
              </w:rPr>
              <w:t xml:space="preserve">.g. 13 (view from the railway station footbridge).  </w:t>
            </w:r>
          </w:p>
        </w:tc>
      </w:tr>
      <w:tr w:rsidR="001A306E" w:rsidRPr="00E6139D" w:rsidTr="001C19EA">
        <w:trPr>
          <w:trHeight w:val="1322"/>
        </w:trPr>
        <w:tc>
          <w:tcPr>
            <w:tcW w:w="2943" w:type="dxa"/>
          </w:tcPr>
          <w:p w:rsidR="001A306E" w:rsidRPr="004D294B" w:rsidRDefault="001A306E" w:rsidP="001634AF">
            <w:pPr>
              <w:jc w:val="center"/>
              <w:rPr>
                <w:rStyle w:val="Strong"/>
                <w:rFonts w:ascii="Verdana" w:hAnsi="Verdana" w:cstheme="minorHAnsi"/>
                <w:sz w:val="20"/>
                <w:szCs w:val="20"/>
              </w:rPr>
            </w:pPr>
            <w:r w:rsidRPr="001A306E">
              <w:rPr>
                <w:rStyle w:val="Strong"/>
                <w:rFonts w:ascii="Verdana" w:hAnsi="Verdana" w:cstheme="minorHAnsi"/>
                <w:sz w:val="20"/>
                <w:szCs w:val="20"/>
              </w:rPr>
              <w:t>Section 7 - Policies</w:t>
            </w:r>
          </w:p>
        </w:tc>
        <w:tc>
          <w:tcPr>
            <w:tcW w:w="2835" w:type="dxa"/>
          </w:tcPr>
          <w:p w:rsidR="001A306E" w:rsidRDefault="001A306E" w:rsidP="007165CA">
            <w:pPr>
              <w:jc w:val="center"/>
              <w:rPr>
                <w:rStyle w:val="Strong"/>
                <w:rFonts w:ascii="Verdana" w:hAnsi="Verdana" w:cstheme="minorHAnsi"/>
                <w:b w:val="0"/>
                <w:sz w:val="20"/>
                <w:szCs w:val="20"/>
              </w:rPr>
            </w:pPr>
            <w:r>
              <w:rPr>
                <w:rStyle w:val="Strong"/>
                <w:rFonts w:ascii="Verdana" w:hAnsi="Verdana" w:cstheme="minorHAnsi"/>
                <w:b w:val="0"/>
                <w:sz w:val="20"/>
                <w:szCs w:val="20"/>
              </w:rPr>
              <w:t>Policy WP7 (p.33)</w:t>
            </w:r>
          </w:p>
        </w:tc>
        <w:tc>
          <w:tcPr>
            <w:tcW w:w="9836" w:type="dxa"/>
          </w:tcPr>
          <w:p w:rsidR="001A306E" w:rsidRPr="004D294B" w:rsidRDefault="001A306E" w:rsidP="001A306E">
            <w:pPr>
              <w:jc w:val="both"/>
              <w:rPr>
                <w:rFonts w:ascii="Verdana" w:hAnsi="Verdana" w:cstheme="minorHAnsi"/>
                <w:sz w:val="20"/>
                <w:szCs w:val="20"/>
              </w:rPr>
            </w:pPr>
            <w:r w:rsidRPr="001A306E">
              <w:rPr>
                <w:rFonts w:ascii="Verdana" w:hAnsi="Verdana" w:cstheme="minorHAnsi"/>
                <w:sz w:val="20"/>
                <w:szCs w:val="20"/>
              </w:rPr>
              <w:t>I</w:t>
            </w:r>
            <w:r>
              <w:rPr>
                <w:rFonts w:ascii="Verdana" w:hAnsi="Verdana" w:cstheme="minorHAnsi"/>
                <w:sz w:val="20"/>
                <w:szCs w:val="20"/>
              </w:rPr>
              <w:t>t is</w:t>
            </w:r>
            <w:r w:rsidRPr="001A306E">
              <w:rPr>
                <w:rFonts w:ascii="Verdana" w:hAnsi="Verdana" w:cstheme="minorHAnsi"/>
                <w:sz w:val="20"/>
                <w:szCs w:val="20"/>
              </w:rPr>
              <w:t xml:space="preserve"> suggest</w:t>
            </w:r>
            <w:r>
              <w:rPr>
                <w:rFonts w:ascii="Verdana" w:hAnsi="Verdana" w:cstheme="minorHAnsi"/>
                <w:sz w:val="20"/>
                <w:szCs w:val="20"/>
              </w:rPr>
              <w:t>ed</w:t>
            </w:r>
            <w:r w:rsidRPr="001A306E">
              <w:rPr>
                <w:rFonts w:ascii="Verdana" w:hAnsi="Verdana" w:cstheme="minorHAnsi"/>
                <w:sz w:val="20"/>
                <w:szCs w:val="20"/>
              </w:rPr>
              <w:t xml:space="preserve"> replacing the paragraph beginning “Development proposals for non-community uses…” with the following: “The loss of existing community facilities will be resisted unless it can be demonstrated that the </w:t>
            </w:r>
            <w:r>
              <w:rPr>
                <w:rFonts w:ascii="Verdana" w:hAnsi="Verdana" w:cstheme="minorHAnsi"/>
                <w:sz w:val="20"/>
                <w:szCs w:val="20"/>
              </w:rPr>
              <w:t>current use</w:t>
            </w:r>
            <w:r w:rsidRPr="001A306E">
              <w:rPr>
                <w:rFonts w:ascii="Verdana" w:hAnsi="Verdana" w:cstheme="minorHAnsi"/>
                <w:sz w:val="20"/>
                <w:szCs w:val="20"/>
              </w:rPr>
              <w:t xml:space="preserve"> is no longer viable or that the facility is no longer in active use and has no prospect of being brought back into </w:t>
            </w:r>
            <w:r>
              <w:rPr>
                <w:rFonts w:ascii="Verdana" w:hAnsi="Verdana" w:cstheme="minorHAnsi"/>
                <w:sz w:val="20"/>
                <w:szCs w:val="20"/>
              </w:rPr>
              <w:t xml:space="preserve">active community </w:t>
            </w:r>
            <w:r w:rsidRPr="001A306E">
              <w:rPr>
                <w:rFonts w:ascii="Verdana" w:hAnsi="Verdana" w:cstheme="minorHAnsi"/>
                <w:sz w:val="20"/>
                <w:szCs w:val="20"/>
              </w:rPr>
              <w:t>use”</w:t>
            </w:r>
            <w:r w:rsidR="00AB43FF">
              <w:rPr>
                <w:rFonts w:ascii="Verdana" w:hAnsi="Verdana" w:cstheme="minorHAnsi"/>
                <w:sz w:val="20"/>
                <w:szCs w:val="20"/>
              </w:rPr>
              <w:t xml:space="preserve"> for clarification purposes</w:t>
            </w:r>
            <w:r w:rsidRPr="001A306E">
              <w:rPr>
                <w:rFonts w:ascii="Verdana" w:hAnsi="Verdana" w:cstheme="minorHAnsi"/>
                <w:sz w:val="20"/>
                <w:szCs w:val="20"/>
              </w:rPr>
              <w:t>.</w:t>
            </w:r>
            <w:r>
              <w:rPr>
                <w:rFonts w:ascii="Verdana" w:hAnsi="Verdana" w:cstheme="minorHAnsi"/>
                <w:sz w:val="20"/>
                <w:szCs w:val="20"/>
              </w:rPr>
              <w:t xml:space="preserve"> </w:t>
            </w:r>
          </w:p>
        </w:tc>
      </w:tr>
      <w:tr w:rsidR="001A6D96" w:rsidRPr="00E6139D" w:rsidTr="001A6D96">
        <w:trPr>
          <w:trHeight w:val="841"/>
        </w:trPr>
        <w:tc>
          <w:tcPr>
            <w:tcW w:w="2943" w:type="dxa"/>
          </w:tcPr>
          <w:p w:rsidR="001A6D96" w:rsidRPr="008D1FC0" w:rsidRDefault="007165CA" w:rsidP="001634AF">
            <w:pPr>
              <w:jc w:val="center"/>
              <w:rPr>
                <w:rStyle w:val="Strong"/>
                <w:rFonts w:ascii="Verdana" w:hAnsi="Verdana" w:cstheme="minorHAnsi"/>
                <w:sz w:val="20"/>
                <w:szCs w:val="20"/>
              </w:rPr>
            </w:pPr>
            <w:r w:rsidRPr="007165CA">
              <w:rPr>
                <w:rStyle w:val="Strong"/>
                <w:rFonts w:ascii="Verdana" w:hAnsi="Verdana" w:cstheme="minorHAnsi"/>
                <w:sz w:val="20"/>
                <w:szCs w:val="20"/>
              </w:rPr>
              <w:t>Section 7 - Policies</w:t>
            </w:r>
          </w:p>
        </w:tc>
        <w:tc>
          <w:tcPr>
            <w:tcW w:w="2835" w:type="dxa"/>
          </w:tcPr>
          <w:p w:rsidR="001A6D96" w:rsidRPr="008D1FC0" w:rsidRDefault="007165CA"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WP9 (P.39)</w:t>
            </w:r>
          </w:p>
        </w:tc>
        <w:tc>
          <w:tcPr>
            <w:tcW w:w="9836" w:type="dxa"/>
          </w:tcPr>
          <w:p w:rsidR="00E8488E" w:rsidRPr="008D1FC0" w:rsidRDefault="007165CA" w:rsidP="00E8488E">
            <w:pPr>
              <w:jc w:val="both"/>
              <w:rPr>
                <w:rFonts w:ascii="Verdana" w:hAnsi="Verdana" w:cstheme="minorHAnsi"/>
                <w:sz w:val="20"/>
                <w:szCs w:val="20"/>
              </w:rPr>
            </w:pPr>
            <w:r>
              <w:rPr>
                <w:rFonts w:ascii="Verdana" w:hAnsi="Verdana" w:cstheme="minorHAnsi"/>
                <w:sz w:val="20"/>
                <w:szCs w:val="20"/>
              </w:rPr>
              <w:t>A</w:t>
            </w:r>
            <w:r w:rsidRPr="007165CA">
              <w:rPr>
                <w:rFonts w:ascii="Verdana" w:hAnsi="Verdana" w:cstheme="minorHAnsi"/>
                <w:sz w:val="20"/>
                <w:szCs w:val="20"/>
              </w:rPr>
              <w:t xml:space="preserve"> settlement boundary for </w:t>
            </w:r>
            <w:proofErr w:type="spellStart"/>
            <w:r w:rsidRPr="007165CA">
              <w:rPr>
                <w:rFonts w:ascii="Verdana" w:hAnsi="Verdana" w:cstheme="minorHAnsi"/>
                <w:sz w:val="20"/>
                <w:szCs w:val="20"/>
              </w:rPr>
              <w:t>Wilmcote</w:t>
            </w:r>
            <w:proofErr w:type="spellEnd"/>
            <w:r w:rsidRPr="007165CA">
              <w:rPr>
                <w:rFonts w:ascii="Verdana" w:hAnsi="Verdana" w:cstheme="minorHAnsi"/>
                <w:sz w:val="20"/>
                <w:szCs w:val="20"/>
              </w:rPr>
              <w:t xml:space="preserve"> has not been defined to establish where this policy would be applicable. The District Council’s Site Allocations Plan can do this but it </w:t>
            </w:r>
            <w:r w:rsidR="00D7387C">
              <w:rPr>
                <w:rFonts w:ascii="Verdana" w:hAnsi="Verdana" w:cstheme="minorHAnsi"/>
                <w:sz w:val="20"/>
                <w:szCs w:val="20"/>
              </w:rPr>
              <w:t xml:space="preserve">is considered more </w:t>
            </w:r>
            <w:r w:rsidRPr="007165CA">
              <w:rPr>
                <w:rFonts w:ascii="Verdana" w:hAnsi="Verdana" w:cstheme="minorHAnsi"/>
                <w:sz w:val="20"/>
                <w:szCs w:val="20"/>
              </w:rPr>
              <w:t>appropriate for the N</w:t>
            </w:r>
            <w:r>
              <w:rPr>
                <w:rFonts w:ascii="Verdana" w:hAnsi="Verdana" w:cstheme="minorHAnsi"/>
                <w:sz w:val="20"/>
                <w:szCs w:val="20"/>
              </w:rPr>
              <w:t>D</w:t>
            </w:r>
            <w:r w:rsidRPr="007165CA">
              <w:rPr>
                <w:rFonts w:ascii="Verdana" w:hAnsi="Verdana" w:cstheme="minorHAnsi"/>
                <w:sz w:val="20"/>
                <w:szCs w:val="20"/>
              </w:rPr>
              <w:t>P to do so</w:t>
            </w:r>
            <w:r>
              <w:rPr>
                <w:rFonts w:ascii="Verdana" w:hAnsi="Verdana" w:cstheme="minorHAnsi"/>
                <w:sz w:val="20"/>
                <w:szCs w:val="20"/>
              </w:rPr>
              <w:t>, in order to tie in with the policies set out in the Plan</w:t>
            </w:r>
            <w:r w:rsidRPr="007165CA">
              <w:rPr>
                <w:rFonts w:ascii="Verdana" w:hAnsi="Verdana" w:cstheme="minorHAnsi"/>
                <w:sz w:val="20"/>
                <w:szCs w:val="20"/>
              </w:rPr>
              <w:t>.</w:t>
            </w:r>
          </w:p>
        </w:tc>
      </w:tr>
      <w:tr w:rsidR="00E8488E" w:rsidRPr="00E6139D" w:rsidTr="001A6D96">
        <w:trPr>
          <w:trHeight w:val="841"/>
        </w:trPr>
        <w:tc>
          <w:tcPr>
            <w:tcW w:w="2943" w:type="dxa"/>
          </w:tcPr>
          <w:p w:rsidR="00E8488E" w:rsidRPr="007165CA" w:rsidRDefault="00E8488E" w:rsidP="001634AF">
            <w:pPr>
              <w:jc w:val="center"/>
              <w:rPr>
                <w:rStyle w:val="Strong"/>
                <w:rFonts w:ascii="Verdana" w:hAnsi="Verdana" w:cstheme="minorHAnsi"/>
                <w:sz w:val="20"/>
                <w:szCs w:val="20"/>
              </w:rPr>
            </w:pPr>
            <w:r w:rsidRPr="00E8488E">
              <w:rPr>
                <w:rStyle w:val="Strong"/>
                <w:rFonts w:ascii="Verdana" w:hAnsi="Verdana" w:cstheme="minorHAnsi"/>
                <w:sz w:val="20"/>
                <w:szCs w:val="20"/>
              </w:rPr>
              <w:t>Section 7 - Policies</w:t>
            </w:r>
          </w:p>
        </w:tc>
        <w:tc>
          <w:tcPr>
            <w:tcW w:w="2835" w:type="dxa"/>
          </w:tcPr>
          <w:p w:rsidR="00E8488E" w:rsidRDefault="00E8488E" w:rsidP="003330EE">
            <w:pPr>
              <w:jc w:val="center"/>
              <w:rPr>
                <w:rStyle w:val="Strong"/>
                <w:rFonts w:ascii="Verdana" w:hAnsi="Verdana" w:cstheme="minorHAnsi"/>
                <w:b w:val="0"/>
                <w:sz w:val="20"/>
                <w:szCs w:val="20"/>
              </w:rPr>
            </w:pPr>
            <w:r w:rsidRPr="00E8488E">
              <w:rPr>
                <w:rStyle w:val="Strong"/>
                <w:rFonts w:ascii="Verdana" w:hAnsi="Verdana" w:cstheme="minorHAnsi"/>
                <w:b w:val="0"/>
                <w:sz w:val="20"/>
                <w:szCs w:val="20"/>
              </w:rPr>
              <w:t>Policy WP9 (P.39)</w:t>
            </w:r>
          </w:p>
        </w:tc>
        <w:tc>
          <w:tcPr>
            <w:tcW w:w="9836" w:type="dxa"/>
          </w:tcPr>
          <w:p w:rsidR="00E8488E" w:rsidRDefault="00E8488E" w:rsidP="000105FF">
            <w:pPr>
              <w:jc w:val="both"/>
              <w:rPr>
                <w:rFonts w:ascii="Verdana" w:hAnsi="Verdana" w:cstheme="minorHAnsi"/>
                <w:sz w:val="20"/>
                <w:szCs w:val="20"/>
              </w:rPr>
            </w:pPr>
            <w:r w:rsidRPr="00E8488E">
              <w:rPr>
                <w:rFonts w:ascii="Verdana" w:hAnsi="Verdana" w:cstheme="minorHAnsi"/>
                <w:sz w:val="20"/>
                <w:szCs w:val="20"/>
              </w:rPr>
              <w:t>Criterion (</w:t>
            </w:r>
            <w:r>
              <w:rPr>
                <w:rFonts w:ascii="Verdana" w:hAnsi="Verdana" w:cstheme="minorHAnsi"/>
                <w:sz w:val="20"/>
                <w:szCs w:val="20"/>
              </w:rPr>
              <w:t>f</w:t>
            </w:r>
            <w:r w:rsidRPr="00E8488E">
              <w:rPr>
                <w:rFonts w:ascii="Verdana" w:hAnsi="Verdana" w:cstheme="minorHAnsi"/>
                <w:sz w:val="20"/>
                <w:szCs w:val="20"/>
              </w:rPr>
              <w:t>): there is no reference to harm to the visual amenity of the Green Belt in national policy. Suggest ‘of the Green Belt’ is deleted or (</w:t>
            </w:r>
            <w:r w:rsidR="000105FF">
              <w:rPr>
                <w:rFonts w:ascii="Verdana" w:hAnsi="Verdana" w:cstheme="minorHAnsi"/>
                <w:sz w:val="20"/>
                <w:szCs w:val="20"/>
              </w:rPr>
              <w:t>f</w:t>
            </w:r>
            <w:r w:rsidRPr="00E8488E">
              <w:rPr>
                <w:rFonts w:ascii="Verdana" w:hAnsi="Verdana" w:cstheme="minorHAnsi"/>
                <w:sz w:val="20"/>
                <w:szCs w:val="20"/>
              </w:rPr>
              <w:t>) is reworded to read ‘would not harm the openness of the Green Belt’.</w:t>
            </w:r>
          </w:p>
        </w:tc>
      </w:tr>
      <w:tr w:rsidR="00014613" w:rsidRPr="00E6139D" w:rsidTr="00F33A4E">
        <w:trPr>
          <w:trHeight w:val="1113"/>
        </w:trPr>
        <w:tc>
          <w:tcPr>
            <w:tcW w:w="2943" w:type="dxa"/>
          </w:tcPr>
          <w:p w:rsidR="00014613" w:rsidRPr="007165CA" w:rsidRDefault="00014613" w:rsidP="001634AF">
            <w:pPr>
              <w:jc w:val="center"/>
              <w:rPr>
                <w:rStyle w:val="Strong"/>
                <w:rFonts w:ascii="Verdana" w:hAnsi="Verdana" w:cstheme="minorHAnsi"/>
                <w:sz w:val="20"/>
                <w:szCs w:val="20"/>
              </w:rPr>
            </w:pPr>
            <w:r w:rsidRPr="00014613">
              <w:rPr>
                <w:rStyle w:val="Strong"/>
                <w:rFonts w:ascii="Verdana" w:hAnsi="Verdana" w:cstheme="minorHAnsi"/>
                <w:sz w:val="20"/>
                <w:szCs w:val="20"/>
              </w:rPr>
              <w:t>Section 7 - Policies</w:t>
            </w:r>
          </w:p>
        </w:tc>
        <w:tc>
          <w:tcPr>
            <w:tcW w:w="2835" w:type="dxa"/>
          </w:tcPr>
          <w:p w:rsidR="00014613" w:rsidRDefault="00014613" w:rsidP="004D3C5F">
            <w:pPr>
              <w:jc w:val="center"/>
              <w:rPr>
                <w:rStyle w:val="Strong"/>
                <w:rFonts w:ascii="Verdana" w:hAnsi="Verdana" w:cstheme="minorHAnsi"/>
                <w:b w:val="0"/>
                <w:sz w:val="20"/>
                <w:szCs w:val="20"/>
              </w:rPr>
            </w:pPr>
            <w:r>
              <w:rPr>
                <w:rStyle w:val="Strong"/>
                <w:rFonts w:ascii="Verdana" w:hAnsi="Verdana" w:cstheme="minorHAnsi"/>
                <w:b w:val="0"/>
                <w:sz w:val="20"/>
                <w:szCs w:val="20"/>
              </w:rPr>
              <w:t>Policy WP1</w:t>
            </w:r>
            <w:r w:rsidR="004D3C5F">
              <w:rPr>
                <w:rStyle w:val="Strong"/>
                <w:rFonts w:ascii="Verdana" w:hAnsi="Verdana" w:cstheme="minorHAnsi"/>
                <w:b w:val="0"/>
                <w:sz w:val="20"/>
                <w:szCs w:val="20"/>
              </w:rPr>
              <w:t>1</w:t>
            </w:r>
            <w:r>
              <w:rPr>
                <w:rStyle w:val="Strong"/>
                <w:rFonts w:ascii="Verdana" w:hAnsi="Verdana" w:cstheme="minorHAnsi"/>
                <w:b w:val="0"/>
                <w:sz w:val="20"/>
                <w:szCs w:val="20"/>
              </w:rPr>
              <w:t xml:space="preserve"> (p.41)</w:t>
            </w:r>
          </w:p>
        </w:tc>
        <w:tc>
          <w:tcPr>
            <w:tcW w:w="9836" w:type="dxa"/>
          </w:tcPr>
          <w:p w:rsidR="00014613" w:rsidRDefault="00AC1DA7" w:rsidP="005233CD">
            <w:pPr>
              <w:jc w:val="both"/>
              <w:rPr>
                <w:rFonts w:ascii="Verdana" w:hAnsi="Verdana" w:cstheme="minorHAnsi"/>
                <w:sz w:val="20"/>
                <w:szCs w:val="20"/>
              </w:rPr>
            </w:pPr>
            <w:r>
              <w:rPr>
                <w:rFonts w:ascii="Verdana" w:hAnsi="Verdana" w:cstheme="minorHAnsi"/>
                <w:sz w:val="20"/>
                <w:szCs w:val="20"/>
              </w:rPr>
              <w:t>It is considered that c</w:t>
            </w:r>
            <w:r w:rsidRPr="00AC1DA7">
              <w:rPr>
                <w:rFonts w:ascii="Verdana" w:hAnsi="Verdana" w:cstheme="minorHAnsi"/>
                <w:sz w:val="20"/>
                <w:szCs w:val="20"/>
              </w:rPr>
              <w:t>riterion b) is at the same time too vague and too lengthy</w:t>
            </w:r>
            <w:r>
              <w:rPr>
                <w:rFonts w:ascii="Verdana" w:hAnsi="Verdana" w:cstheme="minorHAnsi"/>
                <w:sz w:val="20"/>
                <w:szCs w:val="20"/>
              </w:rPr>
              <w:t>.</w:t>
            </w:r>
            <w:r w:rsidRPr="00AC1DA7">
              <w:rPr>
                <w:rFonts w:ascii="Verdana" w:hAnsi="Verdana" w:cstheme="minorHAnsi"/>
                <w:sz w:val="20"/>
                <w:szCs w:val="20"/>
              </w:rPr>
              <w:t xml:space="preserve"> </w:t>
            </w:r>
            <w:r w:rsidR="005233CD">
              <w:rPr>
                <w:rFonts w:ascii="Verdana" w:hAnsi="Verdana" w:cstheme="minorHAnsi"/>
                <w:sz w:val="20"/>
                <w:szCs w:val="20"/>
              </w:rPr>
              <w:t>T</w:t>
            </w:r>
            <w:r w:rsidRPr="00AC1DA7">
              <w:rPr>
                <w:rFonts w:ascii="Verdana" w:hAnsi="Verdana" w:cstheme="minorHAnsi"/>
                <w:sz w:val="20"/>
                <w:szCs w:val="20"/>
              </w:rPr>
              <w:t xml:space="preserve">he criterion should simply read “design that takes into account site characteristics and surroundings”. The 12 sub-points could </w:t>
            </w:r>
            <w:r>
              <w:rPr>
                <w:rFonts w:ascii="Verdana" w:hAnsi="Verdana" w:cstheme="minorHAnsi"/>
                <w:sz w:val="20"/>
                <w:szCs w:val="20"/>
              </w:rPr>
              <w:t xml:space="preserve">then </w:t>
            </w:r>
            <w:r w:rsidRPr="00AC1DA7">
              <w:rPr>
                <w:rFonts w:ascii="Verdana" w:hAnsi="Verdana" w:cstheme="minorHAnsi"/>
                <w:sz w:val="20"/>
                <w:szCs w:val="20"/>
              </w:rPr>
              <w:t>be listed somewhere in the explanatory text</w:t>
            </w:r>
            <w:r>
              <w:rPr>
                <w:rFonts w:ascii="Verdana" w:hAnsi="Verdana" w:cstheme="minorHAnsi"/>
                <w:sz w:val="20"/>
                <w:szCs w:val="20"/>
              </w:rPr>
              <w:t xml:space="preserve">. It should </w:t>
            </w:r>
            <w:r w:rsidR="00F33A4E">
              <w:rPr>
                <w:rFonts w:ascii="Verdana" w:hAnsi="Verdana" w:cstheme="minorHAnsi"/>
                <w:sz w:val="20"/>
                <w:szCs w:val="20"/>
              </w:rPr>
              <w:t xml:space="preserve">also </w:t>
            </w:r>
            <w:r>
              <w:rPr>
                <w:rFonts w:ascii="Verdana" w:hAnsi="Verdana" w:cstheme="minorHAnsi"/>
                <w:sz w:val="20"/>
                <w:szCs w:val="20"/>
              </w:rPr>
              <w:t xml:space="preserve">be noted that </w:t>
            </w:r>
            <w:r w:rsidRPr="00AC1DA7">
              <w:rPr>
                <w:rFonts w:ascii="Verdana" w:hAnsi="Verdana" w:cstheme="minorHAnsi"/>
                <w:sz w:val="20"/>
                <w:szCs w:val="20"/>
              </w:rPr>
              <w:t xml:space="preserve">these </w:t>
            </w:r>
            <w:r>
              <w:rPr>
                <w:rFonts w:ascii="Verdana" w:hAnsi="Verdana" w:cstheme="minorHAnsi"/>
                <w:sz w:val="20"/>
                <w:szCs w:val="20"/>
              </w:rPr>
              <w:t xml:space="preserve">criteria </w:t>
            </w:r>
            <w:r w:rsidRPr="00AC1DA7">
              <w:rPr>
                <w:rFonts w:ascii="Verdana" w:hAnsi="Verdana" w:cstheme="minorHAnsi"/>
                <w:sz w:val="20"/>
                <w:szCs w:val="20"/>
              </w:rPr>
              <w:t xml:space="preserve">are all </w:t>
            </w:r>
            <w:r>
              <w:rPr>
                <w:rFonts w:ascii="Verdana" w:hAnsi="Verdana" w:cstheme="minorHAnsi"/>
                <w:sz w:val="20"/>
                <w:szCs w:val="20"/>
              </w:rPr>
              <w:t xml:space="preserve">material considerations in the determining of </w:t>
            </w:r>
            <w:r w:rsidRPr="00AC1DA7">
              <w:rPr>
                <w:rFonts w:ascii="Verdana" w:hAnsi="Verdana" w:cstheme="minorHAnsi"/>
                <w:sz w:val="20"/>
                <w:szCs w:val="20"/>
              </w:rPr>
              <w:t>planning application</w:t>
            </w:r>
            <w:r>
              <w:rPr>
                <w:rFonts w:ascii="Verdana" w:hAnsi="Verdana" w:cstheme="minorHAnsi"/>
                <w:sz w:val="20"/>
                <w:szCs w:val="20"/>
              </w:rPr>
              <w:t>s.</w:t>
            </w:r>
          </w:p>
        </w:tc>
      </w:tr>
      <w:tr w:rsidR="007C393F" w:rsidRPr="00E6139D" w:rsidTr="00B91B07">
        <w:trPr>
          <w:trHeight w:val="839"/>
        </w:trPr>
        <w:tc>
          <w:tcPr>
            <w:tcW w:w="2943" w:type="dxa"/>
          </w:tcPr>
          <w:p w:rsidR="007C393F" w:rsidRPr="008D1FC0" w:rsidRDefault="007165CA" w:rsidP="001634AF">
            <w:pPr>
              <w:jc w:val="center"/>
              <w:rPr>
                <w:rStyle w:val="Strong"/>
                <w:rFonts w:ascii="Verdana" w:hAnsi="Verdana" w:cstheme="minorHAnsi"/>
                <w:sz w:val="20"/>
                <w:szCs w:val="20"/>
              </w:rPr>
            </w:pPr>
            <w:r w:rsidRPr="007165CA">
              <w:rPr>
                <w:rStyle w:val="Strong"/>
                <w:rFonts w:ascii="Verdana" w:hAnsi="Verdana" w:cstheme="minorHAnsi"/>
                <w:sz w:val="20"/>
                <w:szCs w:val="20"/>
              </w:rPr>
              <w:t>Section 7 - Policies</w:t>
            </w:r>
          </w:p>
        </w:tc>
        <w:tc>
          <w:tcPr>
            <w:tcW w:w="2835" w:type="dxa"/>
          </w:tcPr>
          <w:p w:rsidR="007C393F" w:rsidRPr="008D1FC0" w:rsidRDefault="00B91B07" w:rsidP="00822323">
            <w:pPr>
              <w:jc w:val="center"/>
              <w:rPr>
                <w:rStyle w:val="Strong"/>
                <w:rFonts w:ascii="Verdana" w:hAnsi="Verdana" w:cstheme="minorHAnsi"/>
                <w:b w:val="0"/>
                <w:sz w:val="20"/>
                <w:szCs w:val="20"/>
              </w:rPr>
            </w:pPr>
            <w:r>
              <w:rPr>
                <w:rStyle w:val="Strong"/>
                <w:rFonts w:ascii="Verdana" w:hAnsi="Verdana" w:cstheme="minorHAnsi"/>
                <w:b w:val="0"/>
                <w:sz w:val="20"/>
                <w:szCs w:val="20"/>
              </w:rPr>
              <w:t>Policy W</w:t>
            </w:r>
            <w:r w:rsidR="00822323">
              <w:rPr>
                <w:rStyle w:val="Strong"/>
                <w:rFonts w:ascii="Verdana" w:hAnsi="Verdana" w:cstheme="minorHAnsi"/>
                <w:b w:val="0"/>
                <w:sz w:val="20"/>
                <w:szCs w:val="20"/>
              </w:rPr>
              <w:t>P</w:t>
            </w:r>
            <w:bookmarkStart w:id="0" w:name="_GoBack"/>
            <w:bookmarkEnd w:id="0"/>
            <w:r>
              <w:rPr>
                <w:rStyle w:val="Strong"/>
                <w:rFonts w:ascii="Verdana" w:hAnsi="Verdana" w:cstheme="minorHAnsi"/>
                <w:b w:val="0"/>
                <w:sz w:val="20"/>
                <w:szCs w:val="20"/>
              </w:rPr>
              <w:t>11 (p.42)</w:t>
            </w:r>
          </w:p>
        </w:tc>
        <w:tc>
          <w:tcPr>
            <w:tcW w:w="9836" w:type="dxa"/>
          </w:tcPr>
          <w:p w:rsidR="007C393F" w:rsidRPr="008D1FC0" w:rsidRDefault="00B91B07" w:rsidP="00C2064C">
            <w:pPr>
              <w:jc w:val="both"/>
              <w:rPr>
                <w:rFonts w:ascii="Verdana" w:hAnsi="Verdana" w:cstheme="minorHAnsi"/>
                <w:sz w:val="20"/>
                <w:szCs w:val="20"/>
              </w:rPr>
            </w:pPr>
            <w:r>
              <w:rPr>
                <w:rFonts w:ascii="Verdana" w:hAnsi="Verdana" w:cstheme="minorHAnsi"/>
                <w:sz w:val="20"/>
                <w:szCs w:val="20"/>
              </w:rPr>
              <w:t xml:space="preserve">Criterion (m): </w:t>
            </w:r>
            <w:r w:rsidRPr="00B91B07">
              <w:rPr>
                <w:rFonts w:ascii="Verdana" w:hAnsi="Verdana" w:cstheme="minorHAnsi"/>
                <w:sz w:val="20"/>
                <w:szCs w:val="20"/>
              </w:rPr>
              <w:t>there is no reference to harm to the visual amenity of the Green Belt in national policy. Suggest ‘of the Green Belt’ is deleted or (m) is reworded to read ‘would not harm the openness of the Green Belt’</w:t>
            </w:r>
            <w:r>
              <w:rPr>
                <w:rFonts w:ascii="Verdana" w:hAnsi="Verdana" w:cstheme="minorHAnsi"/>
                <w:sz w:val="20"/>
                <w:szCs w:val="20"/>
              </w:rPr>
              <w:t>.</w:t>
            </w:r>
          </w:p>
        </w:tc>
      </w:tr>
      <w:tr w:rsidR="0059707F" w:rsidRPr="00E6139D" w:rsidTr="00EC4C17">
        <w:trPr>
          <w:trHeight w:val="831"/>
        </w:trPr>
        <w:tc>
          <w:tcPr>
            <w:tcW w:w="2943" w:type="dxa"/>
          </w:tcPr>
          <w:p w:rsidR="0059707F" w:rsidRPr="008D1FC0" w:rsidRDefault="007165CA" w:rsidP="001634AF">
            <w:pPr>
              <w:jc w:val="center"/>
              <w:rPr>
                <w:rStyle w:val="Strong"/>
                <w:rFonts w:ascii="Verdana" w:hAnsi="Verdana" w:cstheme="minorHAnsi"/>
                <w:sz w:val="20"/>
                <w:szCs w:val="20"/>
              </w:rPr>
            </w:pPr>
            <w:r w:rsidRPr="007165CA">
              <w:rPr>
                <w:rStyle w:val="Strong"/>
                <w:rFonts w:ascii="Verdana" w:hAnsi="Verdana" w:cstheme="minorHAnsi"/>
                <w:sz w:val="20"/>
                <w:szCs w:val="20"/>
              </w:rPr>
              <w:t>Section 7 - Policies</w:t>
            </w:r>
          </w:p>
        </w:tc>
        <w:tc>
          <w:tcPr>
            <w:tcW w:w="2835" w:type="dxa"/>
          </w:tcPr>
          <w:p w:rsidR="0059707F" w:rsidRPr="008D1FC0" w:rsidRDefault="004B037D"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WP12 (p.43)</w:t>
            </w:r>
          </w:p>
        </w:tc>
        <w:tc>
          <w:tcPr>
            <w:tcW w:w="9836" w:type="dxa"/>
          </w:tcPr>
          <w:p w:rsidR="0059707F" w:rsidRPr="008D1FC0" w:rsidRDefault="004B037D" w:rsidP="004B037D">
            <w:pPr>
              <w:jc w:val="both"/>
              <w:rPr>
                <w:rFonts w:ascii="Verdana" w:hAnsi="Verdana" w:cstheme="minorHAnsi"/>
                <w:sz w:val="20"/>
                <w:szCs w:val="20"/>
              </w:rPr>
            </w:pPr>
            <w:r>
              <w:rPr>
                <w:rFonts w:ascii="Verdana" w:hAnsi="Verdana" w:cstheme="minorHAnsi"/>
                <w:sz w:val="20"/>
                <w:szCs w:val="20"/>
              </w:rPr>
              <w:t xml:space="preserve">Criterion (d): </w:t>
            </w:r>
            <w:r w:rsidRPr="004B037D">
              <w:rPr>
                <w:rFonts w:ascii="Verdana" w:hAnsi="Verdana" w:cstheme="minorHAnsi"/>
                <w:sz w:val="20"/>
                <w:szCs w:val="20"/>
              </w:rPr>
              <w:t>there is no reference to harm to the visual amenity of the Green Belt in national policy. Suggest ‘of the Green Belt’ is deleted or (</w:t>
            </w:r>
            <w:r>
              <w:rPr>
                <w:rFonts w:ascii="Verdana" w:hAnsi="Verdana" w:cstheme="minorHAnsi"/>
                <w:sz w:val="20"/>
                <w:szCs w:val="20"/>
              </w:rPr>
              <w:t>d</w:t>
            </w:r>
            <w:r w:rsidRPr="004B037D">
              <w:rPr>
                <w:rFonts w:ascii="Verdana" w:hAnsi="Verdana" w:cstheme="minorHAnsi"/>
                <w:sz w:val="20"/>
                <w:szCs w:val="20"/>
              </w:rPr>
              <w:t>) is reworded to read ‘</w:t>
            </w:r>
            <w:r>
              <w:rPr>
                <w:rFonts w:ascii="Verdana" w:hAnsi="Verdana" w:cstheme="minorHAnsi"/>
                <w:sz w:val="20"/>
                <w:szCs w:val="20"/>
              </w:rPr>
              <w:t>…do</w:t>
            </w:r>
            <w:r w:rsidRPr="004B037D">
              <w:rPr>
                <w:rFonts w:ascii="Verdana" w:hAnsi="Verdana" w:cstheme="minorHAnsi"/>
                <w:sz w:val="20"/>
                <w:szCs w:val="20"/>
              </w:rPr>
              <w:t xml:space="preserve"> not </w:t>
            </w:r>
            <w:r>
              <w:rPr>
                <w:rFonts w:ascii="Verdana" w:hAnsi="Verdana" w:cstheme="minorHAnsi"/>
                <w:sz w:val="20"/>
                <w:szCs w:val="20"/>
              </w:rPr>
              <w:t>have an adverse impact on</w:t>
            </w:r>
            <w:r w:rsidRPr="004B037D">
              <w:rPr>
                <w:rFonts w:ascii="Verdana" w:hAnsi="Verdana" w:cstheme="minorHAnsi"/>
                <w:sz w:val="20"/>
                <w:szCs w:val="20"/>
              </w:rPr>
              <w:t xml:space="preserve"> the openness of the Green Belt’.</w:t>
            </w:r>
          </w:p>
        </w:tc>
      </w:tr>
      <w:tr w:rsidR="0073030E" w:rsidRPr="00E6139D" w:rsidTr="007145F0">
        <w:trPr>
          <w:trHeight w:val="529"/>
        </w:trPr>
        <w:tc>
          <w:tcPr>
            <w:tcW w:w="2943" w:type="dxa"/>
          </w:tcPr>
          <w:p w:rsidR="0073030E" w:rsidRPr="008D1FC0" w:rsidRDefault="007165CA" w:rsidP="001634AF">
            <w:pPr>
              <w:jc w:val="center"/>
              <w:rPr>
                <w:rStyle w:val="Strong"/>
                <w:rFonts w:ascii="Verdana" w:hAnsi="Verdana" w:cstheme="minorHAnsi"/>
                <w:sz w:val="20"/>
                <w:szCs w:val="20"/>
              </w:rPr>
            </w:pPr>
            <w:r w:rsidRPr="007165CA">
              <w:rPr>
                <w:rStyle w:val="Strong"/>
                <w:rFonts w:ascii="Verdana" w:hAnsi="Verdana" w:cstheme="minorHAnsi"/>
                <w:sz w:val="20"/>
                <w:szCs w:val="20"/>
              </w:rPr>
              <w:t>Section 7 - Policies</w:t>
            </w:r>
          </w:p>
        </w:tc>
        <w:tc>
          <w:tcPr>
            <w:tcW w:w="2835" w:type="dxa"/>
          </w:tcPr>
          <w:p w:rsidR="0073030E" w:rsidRPr="008D1FC0" w:rsidRDefault="003B7416" w:rsidP="003330EE">
            <w:pPr>
              <w:jc w:val="center"/>
              <w:rPr>
                <w:rStyle w:val="Strong"/>
                <w:rFonts w:ascii="Verdana" w:hAnsi="Verdana" w:cstheme="minorHAnsi"/>
                <w:b w:val="0"/>
                <w:sz w:val="20"/>
                <w:szCs w:val="20"/>
              </w:rPr>
            </w:pPr>
            <w:r>
              <w:rPr>
                <w:rStyle w:val="Strong"/>
                <w:rFonts w:ascii="Verdana" w:hAnsi="Verdana" w:cstheme="minorHAnsi"/>
                <w:b w:val="0"/>
                <w:sz w:val="20"/>
                <w:szCs w:val="20"/>
              </w:rPr>
              <w:t>Policy WP15 (p.46)</w:t>
            </w:r>
          </w:p>
        </w:tc>
        <w:tc>
          <w:tcPr>
            <w:tcW w:w="9836" w:type="dxa"/>
          </w:tcPr>
          <w:p w:rsidR="0073030E" w:rsidRPr="008D1FC0" w:rsidRDefault="003B7416" w:rsidP="00C2064C">
            <w:pPr>
              <w:jc w:val="both"/>
              <w:rPr>
                <w:rFonts w:ascii="Verdana" w:hAnsi="Verdana" w:cstheme="minorHAnsi"/>
                <w:sz w:val="20"/>
                <w:szCs w:val="20"/>
              </w:rPr>
            </w:pPr>
            <w:r w:rsidRPr="003B7416">
              <w:rPr>
                <w:rFonts w:ascii="Verdana" w:hAnsi="Verdana" w:cstheme="minorHAnsi"/>
                <w:sz w:val="20"/>
                <w:szCs w:val="20"/>
              </w:rPr>
              <w:t>New footpaths etc</w:t>
            </w:r>
            <w:r>
              <w:rPr>
                <w:rFonts w:ascii="Verdana" w:hAnsi="Verdana" w:cstheme="minorHAnsi"/>
                <w:sz w:val="20"/>
                <w:szCs w:val="20"/>
              </w:rPr>
              <w:t>.</w:t>
            </w:r>
            <w:r w:rsidRPr="003B7416">
              <w:rPr>
                <w:rFonts w:ascii="Verdana" w:hAnsi="Verdana" w:cstheme="minorHAnsi"/>
                <w:sz w:val="20"/>
                <w:szCs w:val="20"/>
              </w:rPr>
              <w:t xml:space="preserve"> could only be requested via appropriate legal agreements, given that the land in question would invariably lay outside the application site (i.e. in the public highway).</w:t>
            </w:r>
          </w:p>
        </w:tc>
      </w:tr>
    </w:tbl>
    <w:p w:rsidR="00CC4DF5" w:rsidRPr="00E6139D" w:rsidRDefault="00CC4DF5">
      <w:pPr>
        <w:rPr>
          <w:rFonts w:ascii="Verdana" w:hAnsi="Verdana"/>
          <w:sz w:val="20"/>
          <w:szCs w:val="20"/>
        </w:rPr>
      </w:pPr>
    </w:p>
    <w:sectPr w:rsidR="00CC4DF5" w:rsidRPr="00E6139D" w:rsidSect="00DA1719">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9B" w:rsidRDefault="00FC179B" w:rsidP="004404C7">
      <w:pPr>
        <w:spacing w:after="0" w:line="240" w:lineRule="auto"/>
      </w:pPr>
      <w:r>
        <w:separator/>
      </w:r>
    </w:p>
  </w:endnote>
  <w:endnote w:type="continuationSeparator" w:id="0">
    <w:p w:rsidR="00FC179B" w:rsidRDefault="00FC179B" w:rsidP="0044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9B" w:rsidRDefault="00FC179B" w:rsidP="004404C7">
      <w:pPr>
        <w:spacing w:after="0" w:line="240" w:lineRule="auto"/>
      </w:pPr>
      <w:r>
        <w:separator/>
      </w:r>
    </w:p>
  </w:footnote>
  <w:footnote w:type="continuationSeparator" w:id="0">
    <w:p w:rsidR="00FC179B" w:rsidRDefault="00FC179B" w:rsidP="00440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8C" w:rsidRDefault="003C1B8C">
    <w:pPr>
      <w:pStyle w:val="Header"/>
    </w:pPr>
  </w:p>
  <w:p w:rsidR="003C1B8C" w:rsidRDefault="003C1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334"/>
    <w:multiLevelType w:val="hybridMultilevel"/>
    <w:tmpl w:val="B34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32643"/>
    <w:multiLevelType w:val="hybridMultilevel"/>
    <w:tmpl w:val="B2ECB958"/>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
    <w:nsid w:val="0A2F6E4B"/>
    <w:multiLevelType w:val="hybridMultilevel"/>
    <w:tmpl w:val="1CDC6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C33F24"/>
    <w:multiLevelType w:val="hybridMultilevel"/>
    <w:tmpl w:val="65746932"/>
    <w:lvl w:ilvl="0" w:tplc="F90A7D5E">
      <w:start w:val="1"/>
      <w:numFmt w:val="lowerRoman"/>
      <w:lvlText w:val="(%1)"/>
      <w:lvlJc w:val="left"/>
      <w:pPr>
        <w:ind w:left="2310" w:hanging="1080"/>
      </w:pPr>
      <w:rPr>
        <w:rFonts w:hint="default"/>
        <w:b w:val="0"/>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4">
    <w:nsid w:val="0D3F6D2D"/>
    <w:multiLevelType w:val="hybridMultilevel"/>
    <w:tmpl w:val="4C828ADA"/>
    <w:lvl w:ilvl="0" w:tplc="08090001">
      <w:start w:val="1"/>
      <w:numFmt w:val="bullet"/>
      <w:lvlText w:val=""/>
      <w:lvlJc w:val="left"/>
      <w:pPr>
        <w:ind w:left="3030" w:hanging="360"/>
      </w:pPr>
      <w:rPr>
        <w:rFonts w:ascii="Symbol" w:hAnsi="Symbol" w:hint="default"/>
      </w:rPr>
    </w:lvl>
    <w:lvl w:ilvl="1" w:tplc="08090003" w:tentative="1">
      <w:start w:val="1"/>
      <w:numFmt w:val="bullet"/>
      <w:lvlText w:val="o"/>
      <w:lvlJc w:val="left"/>
      <w:pPr>
        <w:ind w:left="3750" w:hanging="360"/>
      </w:pPr>
      <w:rPr>
        <w:rFonts w:ascii="Courier New" w:hAnsi="Courier New" w:cs="Courier New" w:hint="default"/>
      </w:rPr>
    </w:lvl>
    <w:lvl w:ilvl="2" w:tplc="08090005" w:tentative="1">
      <w:start w:val="1"/>
      <w:numFmt w:val="bullet"/>
      <w:lvlText w:val=""/>
      <w:lvlJc w:val="left"/>
      <w:pPr>
        <w:ind w:left="4470" w:hanging="360"/>
      </w:pPr>
      <w:rPr>
        <w:rFonts w:ascii="Wingdings" w:hAnsi="Wingdings" w:hint="default"/>
      </w:rPr>
    </w:lvl>
    <w:lvl w:ilvl="3" w:tplc="08090001" w:tentative="1">
      <w:start w:val="1"/>
      <w:numFmt w:val="bullet"/>
      <w:lvlText w:val=""/>
      <w:lvlJc w:val="left"/>
      <w:pPr>
        <w:ind w:left="5190" w:hanging="360"/>
      </w:pPr>
      <w:rPr>
        <w:rFonts w:ascii="Symbol" w:hAnsi="Symbol" w:hint="default"/>
      </w:rPr>
    </w:lvl>
    <w:lvl w:ilvl="4" w:tplc="08090003" w:tentative="1">
      <w:start w:val="1"/>
      <w:numFmt w:val="bullet"/>
      <w:lvlText w:val="o"/>
      <w:lvlJc w:val="left"/>
      <w:pPr>
        <w:ind w:left="5910" w:hanging="360"/>
      </w:pPr>
      <w:rPr>
        <w:rFonts w:ascii="Courier New" w:hAnsi="Courier New" w:cs="Courier New" w:hint="default"/>
      </w:rPr>
    </w:lvl>
    <w:lvl w:ilvl="5" w:tplc="08090005" w:tentative="1">
      <w:start w:val="1"/>
      <w:numFmt w:val="bullet"/>
      <w:lvlText w:val=""/>
      <w:lvlJc w:val="left"/>
      <w:pPr>
        <w:ind w:left="6630" w:hanging="360"/>
      </w:pPr>
      <w:rPr>
        <w:rFonts w:ascii="Wingdings" w:hAnsi="Wingdings" w:hint="default"/>
      </w:rPr>
    </w:lvl>
    <w:lvl w:ilvl="6" w:tplc="08090001" w:tentative="1">
      <w:start w:val="1"/>
      <w:numFmt w:val="bullet"/>
      <w:lvlText w:val=""/>
      <w:lvlJc w:val="left"/>
      <w:pPr>
        <w:ind w:left="7350" w:hanging="360"/>
      </w:pPr>
      <w:rPr>
        <w:rFonts w:ascii="Symbol" w:hAnsi="Symbol" w:hint="default"/>
      </w:rPr>
    </w:lvl>
    <w:lvl w:ilvl="7" w:tplc="08090003" w:tentative="1">
      <w:start w:val="1"/>
      <w:numFmt w:val="bullet"/>
      <w:lvlText w:val="o"/>
      <w:lvlJc w:val="left"/>
      <w:pPr>
        <w:ind w:left="8070" w:hanging="360"/>
      </w:pPr>
      <w:rPr>
        <w:rFonts w:ascii="Courier New" w:hAnsi="Courier New" w:cs="Courier New" w:hint="default"/>
      </w:rPr>
    </w:lvl>
    <w:lvl w:ilvl="8" w:tplc="08090005" w:tentative="1">
      <w:start w:val="1"/>
      <w:numFmt w:val="bullet"/>
      <w:lvlText w:val=""/>
      <w:lvlJc w:val="left"/>
      <w:pPr>
        <w:ind w:left="8790" w:hanging="360"/>
      </w:pPr>
      <w:rPr>
        <w:rFonts w:ascii="Wingdings" w:hAnsi="Wingdings" w:hint="default"/>
      </w:rPr>
    </w:lvl>
  </w:abstractNum>
  <w:abstractNum w:abstractNumId="5">
    <w:nsid w:val="0FD10561"/>
    <w:multiLevelType w:val="hybridMultilevel"/>
    <w:tmpl w:val="324A8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927410"/>
    <w:multiLevelType w:val="hybridMultilevel"/>
    <w:tmpl w:val="6C546CBC"/>
    <w:lvl w:ilvl="0" w:tplc="378A32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94591A"/>
    <w:multiLevelType w:val="hybridMultilevel"/>
    <w:tmpl w:val="F11C4E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7F07A27"/>
    <w:multiLevelType w:val="hybridMultilevel"/>
    <w:tmpl w:val="2BA84BA2"/>
    <w:lvl w:ilvl="0" w:tplc="411C50D8">
      <w:start w:val="1"/>
      <w:numFmt w:val="upperLetter"/>
      <w:lvlText w:val="(%1)"/>
      <w:lvlJc w:val="left"/>
      <w:pPr>
        <w:ind w:left="1080" w:hanging="360"/>
      </w:pPr>
      <w:rPr>
        <w:rFonts w:ascii="Verdana" w:eastAsiaTheme="minorEastAsia" w:hAnsi="Verdana" w:cstheme="minorBidi"/>
      </w:rPr>
    </w:lvl>
    <w:lvl w:ilvl="1" w:tplc="08090019">
      <w:start w:val="1"/>
      <w:numFmt w:val="lowerLetter"/>
      <w:lvlText w:val="%2."/>
      <w:lvlJc w:val="left"/>
      <w:pPr>
        <w:ind w:left="1800" w:hanging="360"/>
      </w:pPr>
    </w:lvl>
    <w:lvl w:ilvl="2" w:tplc="0DC6C01A">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CAD4067"/>
    <w:multiLevelType w:val="hybridMultilevel"/>
    <w:tmpl w:val="E11A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170F7B"/>
    <w:multiLevelType w:val="hybridMultilevel"/>
    <w:tmpl w:val="8B6ACFC6"/>
    <w:lvl w:ilvl="0" w:tplc="68F62C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5F4366B"/>
    <w:multiLevelType w:val="hybridMultilevel"/>
    <w:tmpl w:val="E55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3B2237"/>
    <w:multiLevelType w:val="hybridMultilevel"/>
    <w:tmpl w:val="9D5EA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42070A4"/>
    <w:multiLevelType w:val="hybridMultilevel"/>
    <w:tmpl w:val="65746932"/>
    <w:lvl w:ilvl="0" w:tplc="F90A7D5E">
      <w:start w:val="1"/>
      <w:numFmt w:val="lowerRoman"/>
      <w:lvlText w:val="(%1)"/>
      <w:lvlJc w:val="left"/>
      <w:pPr>
        <w:ind w:left="2520" w:hanging="10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449F42D1"/>
    <w:multiLevelType w:val="hybridMultilevel"/>
    <w:tmpl w:val="22FED9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7C75182"/>
    <w:multiLevelType w:val="hybridMultilevel"/>
    <w:tmpl w:val="CF5E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016F35"/>
    <w:multiLevelType w:val="hybridMultilevel"/>
    <w:tmpl w:val="728CE0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4E54E3"/>
    <w:multiLevelType w:val="hybridMultilevel"/>
    <w:tmpl w:val="B398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01626C"/>
    <w:multiLevelType w:val="hybridMultilevel"/>
    <w:tmpl w:val="36B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E75C69"/>
    <w:multiLevelType w:val="hybridMultilevel"/>
    <w:tmpl w:val="62C69AAC"/>
    <w:lvl w:ilvl="0" w:tplc="2E863F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376A0E"/>
    <w:multiLevelType w:val="hybridMultilevel"/>
    <w:tmpl w:val="B49664EA"/>
    <w:lvl w:ilvl="0" w:tplc="9806C066">
      <w:start w:val="1"/>
      <w:numFmt w:val="lowerRoman"/>
      <w:lvlText w:val="(%1)"/>
      <w:lvlJc w:val="left"/>
      <w:pPr>
        <w:ind w:left="2388" w:hanging="1080"/>
      </w:pPr>
      <w:rPr>
        <w:rFonts w:hint="default"/>
      </w:rPr>
    </w:lvl>
    <w:lvl w:ilvl="1" w:tplc="08090019" w:tentative="1">
      <w:start w:val="1"/>
      <w:numFmt w:val="lowerLetter"/>
      <w:lvlText w:val="%2."/>
      <w:lvlJc w:val="left"/>
      <w:pPr>
        <w:ind w:left="2388" w:hanging="360"/>
      </w:pPr>
    </w:lvl>
    <w:lvl w:ilvl="2" w:tplc="0809001B" w:tentative="1">
      <w:start w:val="1"/>
      <w:numFmt w:val="lowerRoman"/>
      <w:lvlText w:val="%3."/>
      <w:lvlJc w:val="right"/>
      <w:pPr>
        <w:ind w:left="3108" w:hanging="180"/>
      </w:pPr>
    </w:lvl>
    <w:lvl w:ilvl="3" w:tplc="0809000F" w:tentative="1">
      <w:start w:val="1"/>
      <w:numFmt w:val="decimal"/>
      <w:lvlText w:val="%4."/>
      <w:lvlJc w:val="left"/>
      <w:pPr>
        <w:ind w:left="3828" w:hanging="360"/>
      </w:pPr>
    </w:lvl>
    <w:lvl w:ilvl="4" w:tplc="08090019" w:tentative="1">
      <w:start w:val="1"/>
      <w:numFmt w:val="lowerLetter"/>
      <w:lvlText w:val="%5."/>
      <w:lvlJc w:val="left"/>
      <w:pPr>
        <w:ind w:left="4548" w:hanging="360"/>
      </w:pPr>
    </w:lvl>
    <w:lvl w:ilvl="5" w:tplc="0809001B" w:tentative="1">
      <w:start w:val="1"/>
      <w:numFmt w:val="lowerRoman"/>
      <w:lvlText w:val="%6."/>
      <w:lvlJc w:val="right"/>
      <w:pPr>
        <w:ind w:left="5268" w:hanging="180"/>
      </w:pPr>
    </w:lvl>
    <w:lvl w:ilvl="6" w:tplc="0809000F" w:tentative="1">
      <w:start w:val="1"/>
      <w:numFmt w:val="decimal"/>
      <w:lvlText w:val="%7."/>
      <w:lvlJc w:val="left"/>
      <w:pPr>
        <w:ind w:left="5988" w:hanging="360"/>
      </w:pPr>
    </w:lvl>
    <w:lvl w:ilvl="7" w:tplc="08090019" w:tentative="1">
      <w:start w:val="1"/>
      <w:numFmt w:val="lowerLetter"/>
      <w:lvlText w:val="%8."/>
      <w:lvlJc w:val="left"/>
      <w:pPr>
        <w:ind w:left="6708" w:hanging="360"/>
      </w:pPr>
    </w:lvl>
    <w:lvl w:ilvl="8" w:tplc="0809001B" w:tentative="1">
      <w:start w:val="1"/>
      <w:numFmt w:val="lowerRoman"/>
      <w:lvlText w:val="%9."/>
      <w:lvlJc w:val="right"/>
      <w:pPr>
        <w:ind w:left="7428" w:hanging="180"/>
      </w:pPr>
    </w:lvl>
  </w:abstractNum>
  <w:abstractNum w:abstractNumId="21">
    <w:nsid w:val="770847BC"/>
    <w:multiLevelType w:val="hybridMultilevel"/>
    <w:tmpl w:val="D930AA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7CA93BF9"/>
    <w:multiLevelType w:val="hybridMultilevel"/>
    <w:tmpl w:val="05BE9B0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num w:numId="1">
    <w:abstractNumId w:val="19"/>
  </w:num>
  <w:num w:numId="2">
    <w:abstractNumId w:val="21"/>
  </w:num>
  <w:num w:numId="3">
    <w:abstractNumId w:val="13"/>
  </w:num>
  <w:num w:numId="4">
    <w:abstractNumId w:val="14"/>
  </w:num>
  <w:num w:numId="5">
    <w:abstractNumId w:val="3"/>
  </w:num>
  <w:num w:numId="6">
    <w:abstractNumId w:val="4"/>
  </w:num>
  <w:num w:numId="7">
    <w:abstractNumId w:val="7"/>
  </w:num>
  <w:num w:numId="8">
    <w:abstractNumId w:val="6"/>
  </w:num>
  <w:num w:numId="9">
    <w:abstractNumId w:val="15"/>
  </w:num>
  <w:num w:numId="10">
    <w:abstractNumId w:val="5"/>
  </w:num>
  <w:num w:numId="11">
    <w:abstractNumId w:val="12"/>
  </w:num>
  <w:num w:numId="12">
    <w:abstractNumId w:val="1"/>
  </w:num>
  <w:num w:numId="13">
    <w:abstractNumId w:val="20"/>
  </w:num>
  <w:num w:numId="14">
    <w:abstractNumId w:val="22"/>
  </w:num>
  <w:num w:numId="15">
    <w:abstractNumId w:val="11"/>
  </w:num>
  <w:num w:numId="16">
    <w:abstractNumId w:val="16"/>
  </w:num>
  <w:num w:numId="17">
    <w:abstractNumId w:val="2"/>
  </w:num>
  <w:num w:numId="18">
    <w:abstractNumId w:val="8"/>
  </w:num>
  <w:num w:numId="19">
    <w:abstractNumId w:val="10"/>
  </w:num>
  <w:num w:numId="20">
    <w:abstractNumId w:val="9"/>
  </w:num>
  <w:num w:numId="21">
    <w:abstractNumId w:val="18"/>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F5"/>
    <w:rsid w:val="00002BC1"/>
    <w:rsid w:val="000105FF"/>
    <w:rsid w:val="00013581"/>
    <w:rsid w:val="00013723"/>
    <w:rsid w:val="00014613"/>
    <w:rsid w:val="00020C8F"/>
    <w:rsid w:val="000240F8"/>
    <w:rsid w:val="00027A41"/>
    <w:rsid w:val="00033F81"/>
    <w:rsid w:val="00034473"/>
    <w:rsid w:val="000401A5"/>
    <w:rsid w:val="000425E6"/>
    <w:rsid w:val="00042686"/>
    <w:rsid w:val="00044D57"/>
    <w:rsid w:val="000455D7"/>
    <w:rsid w:val="00045F0D"/>
    <w:rsid w:val="00050D90"/>
    <w:rsid w:val="00053D6B"/>
    <w:rsid w:val="000578C8"/>
    <w:rsid w:val="00060702"/>
    <w:rsid w:val="000608A0"/>
    <w:rsid w:val="00063580"/>
    <w:rsid w:val="00067A53"/>
    <w:rsid w:val="000718F6"/>
    <w:rsid w:val="00073BDD"/>
    <w:rsid w:val="000752B4"/>
    <w:rsid w:val="00080B2B"/>
    <w:rsid w:val="000813B4"/>
    <w:rsid w:val="0008481E"/>
    <w:rsid w:val="00084A2D"/>
    <w:rsid w:val="00086436"/>
    <w:rsid w:val="00086E1C"/>
    <w:rsid w:val="0008777C"/>
    <w:rsid w:val="000A124E"/>
    <w:rsid w:val="000A2120"/>
    <w:rsid w:val="000A2404"/>
    <w:rsid w:val="000A2D31"/>
    <w:rsid w:val="000A3EE1"/>
    <w:rsid w:val="000A3F8F"/>
    <w:rsid w:val="000B5365"/>
    <w:rsid w:val="000B6581"/>
    <w:rsid w:val="000B66AE"/>
    <w:rsid w:val="000C1191"/>
    <w:rsid w:val="000C2498"/>
    <w:rsid w:val="000C260D"/>
    <w:rsid w:val="000C2B9F"/>
    <w:rsid w:val="000C32FB"/>
    <w:rsid w:val="000C6883"/>
    <w:rsid w:val="000C7644"/>
    <w:rsid w:val="000D4856"/>
    <w:rsid w:val="000D71C5"/>
    <w:rsid w:val="000E09E8"/>
    <w:rsid w:val="000E0A5F"/>
    <w:rsid w:val="000E0D2A"/>
    <w:rsid w:val="000F0184"/>
    <w:rsid w:val="000F3BE0"/>
    <w:rsid w:val="000F6466"/>
    <w:rsid w:val="00101C5E"/>
    <w:rsid w:val="0010605C"/>
    <w:rsid w:val="00112F3F"/>
    <w:rsid w:val="00113AAF"/>
    <w:rsid w:val="0011687F"/>
    <w:rsid w:val="00122DA7"/>
    <w:rsid w:val="00137398"/>
    <w:rsid w:val="00150017"/>
    <w:rsid w:val="001518C8"/>
    <w:rsid w:val="00156D08"/>
    <w:rsid w:val="001634AF"/>
    <w:rsid w:val="00163BBA"/>
    <w:rsid w:val="0017642F"/>
    <w:rsid w:val="00181BAF"/>
    <w:rsid w:val="00187E09"/>
    <w:rsid w:val="00195C5B"/>
    <w:rsid w:val="001A306E"/>
    <w:rsid w:val="001A6D96"/>
    <w:rsid w:val="001B280A"/>
    <w:rsid w:val="001B526F"/>
    <w:rsid w:val="001B58EE"/>
    <w:rsid w:val="001B65E0"/>
    <w:rsid w:val="001C19EA"/>
    <w:rsid w:val="001C35D2"/>
    <w:rsid w:val="001D329B"/>
    <w:rsid w:val="001D4CFC"/>
    <w:rsid w:val="001E0A3C"/>
    <w:rsid w:val="001E3175"/>
    <w:rsid w:val="001E6C0B"/>
    <w:rsid w:val="001E77B3"/>
    <w:rsid w:val="001F230B"/>
    <w:rsid w:val="002035E4"/>
    <w:rsid w:val="00203DDE"/>
    <w:rsid w:val="00203F1C"/>
    <w:rsid w:val="00206DE7"/>
    <w:rsid w:val="00207AA1"/>
    <w:rsid w:val="00211F37"/>
    <w:rsid w:val="002161C7"/>
    <w:rsid w:val="00217E1A"/>
    <w:rsid w:val="00222500"/>
    <w:rsid w:val="00225082"/>
    <w:rsid w:val="00225847"/>
    <w:rsid w:val="002311B2"/>
    <w:rsid w:val="00236962"/>
    <w:rsid w:val="00237A23"/>
    <w:rsid w:val="00244041"/>
    <w:rsid w:val="002503E2"/>
    <w:rsid w:val="00260AD2"/>
    <w:rsid w:val="00267C38"/>
    <w:rsid w:val="00272B68"/>
    <w:rsid w:val="00272F34"/>
    <w:rsid w:val="00273FFE"/>
    <w:rsid w:val="002766A0"/>
    <w:rsid w:val="00283462"/>
    <w:rsid w:val="00283EE1"/>
    <w:rsid w:val="002953E7"/>
    <w:rsid w:val="00295AE8"/>
    <w:rsid w:val="0029683B"/>
    <w:rsid w:val="002A15D0"/>
    <w:rsid w:val="002A5EC4"/>
    <w:rsid w:val="002B03BF"/>
    <w:rsid w:val="002B57FF"/>
    <w:rsid w:val="002C5419"/>
    <w:rsid w:val="002C55AD"/>
    <w:rsid w:val="002C5E30"/>
    <w:rsid w:val="002D0474"/>
    <w:rsid w:val="002D0B17"/>
    <w:rsid w:val="002D4EF1"/>
    <w:rsid w:val="002E0002"/>
    <w:rsid w:val="002E4756"/>
    <w:rsid w:val="002F022E"/>
    <w:rsid w:val="002F0FD2"/>
    <w:rsid w:val="002F2DC4"/>
    <w:rsid w:val="00304BFE"/>
    <w:rsid w:val="00304DAA"/>
    <w:rsid w:val="00305FE7"/>
    <w:rsid w:val="0031205A"/>
    <w:rsid w:val="00326225"/>
    <w:rsid w:val="00326CBD"/>
    <w:rsid w:val="00326DEA"/>
    <w:rsid w:val="003330EE"/>
    <w:rsid w:val="00343210"/>
    <w:rsid w:val="00351001"/>
    <w:rsid w:val="0035446E"/>
    <w:rsid w:val="0035615A"/>
    <w:rsid w:val="00361367"/>
    <w:rsid w:val="0036406D"/>
    <w:rsid w:val="00364248"/>
    <w:rsid w:val="00365891"/>
    <w:rsid w:val="00371D0B"/>
    <w:rsid w:val="00373D1E"/>
    <w:rsid w:val="00375FA4"/>
    <w:rsid w:val="003761D3"/>
    <w:rsid w:val="00376FB8"/>
    <w:rsid w:val="00377AD1"/>
    <w:rsid w:val="00380E83"/>
    <w:rsid w:val="00382F74"/>
    <w:rsid w:val="00383490"/>
    <w:rsid w:val="003917F1"/>
    <w:rsid w:val="0039274B"/>
    <w:rsid w:val="003960C8"/>
    <w:rsid w:val="0039654C"/>
    <w:rsid w:val="00396738"/>
    <w:rsid w:val="003967DA"/>
    <w:rsid w:val="00396CB8"/>
    <w:rsid w:val="00397EE5"/>
    <w:rsid w:val="003A146C"/>
    <w:rsid w:val="003A229F"/>
    <w:rsid w:val="003A3323"/>
    <w:rsid w:val="003B0DF6"/>
    <w:rsid w:val="003B131D"/>
    <w:rsid w:val="003B28DB"/>
    <w:rsid w:val="003B5864"/>
    <w:rsid w:val="003B7416"/>
    <w:rsid w:val="003C1B8C"/>
    <w:rsid w:val="003C3456"/>
    <w:rsid w:val="003D1C54"/>
    <w:rsid w:val="003D2B9A"/>
    <w:rsid w:val="003D5AA4"/>
    <w:rsid w:val="003E168D"/>
    <w:rsid w:val="003E478A"/>
    <w:rsid w:val="003F3B71"/>
    <w:rsid w:val="003F5E39"/>
    <w:rsid w:val="00401C71"/>
    <w:rsid w:val="0040411A"/>
    <w:rsid w:val="0040573F"/>
    <w:rsid w:val="0041127D"/>
    <w:rsid w:val="0041334B"/>
    <w:rsid w:val="00413448"/>
    <w:rsid w:val="00413CB2"/>
    <w:rsid w:val="0041509B"/>
    <w:rsid w:val="00415998"/>
    <w:rsid w:val="00422516"/>
    <w:rsid w:val="00423F84"/>
    <w:rsid w:val="00424D67"/>
    <w:rsid w:val="00431A8A"/>
    <w:rsid w:val="0043621F"/>
    <w:rsid w:val="004378D2"/>
    <w:rsid w:val="004404C7"/>
    <w:rsid w:val="00441A4A"/>
    <w:rsid w:val="004468AB"/>
    <w:rsid w:val="004505C4"/>
    <w:rsid w:val="0045242F"/>
    <w:rsid w:val="00460184"/>
    <w:rsid w:val="0046194A"/>
    <w:rsid w:val="00464908"/>
    <w:rsid w:val="004741B9"/>
    <w:rsid w:val="00477305"/>
    <w:rsid w:val="00481ACE"/>
    <w:rsid w:val="00483E38"/>
    <w:rsid w:val="00491F0C"/>
    <w:rsid w:val="00492451"/>
    <w:rsid w:val="00495FD1"/>
    <w:rsid w:val="0049754B"/>
    <w:rsid w:val="00497D13"/>
    <w:rsid w:val="004A32EA"/>
    <w:rsid w:val="004A4904"/>
    <w:rsid w:val="004A50D6"/>
    <w:rsid w:val="004A739E"/>
    <w:rsid w:val="004A7C97"/>
    <w:rsid w:val="004B037D"/>
    <w:rsid w:val="004B26EB"/>
    <w:rsid w:val="004B34E5"/>
    <w:rsid w:val="004B5FE4"/>
    <w:rsid w:val="004D294B"/>
    <w:rsid w:val="004D3C5F"/>
    <w:rsid w:val="004D67B4"/>
    <w:rsid w:val="004D706B"/>
    <w:rsid w:val="004E51C8"/>
    <w:rsid w:val="004E58E1"/>
    <w:rsid w:val="004E6353"/>
    <w:rsid w:val="004F0CC8"/>
    <w:rsid w:val="004F1218"/>
    <w:rsid w:val="004F38FD"/>
    <w:rsid w:val="004F60A0"/>
    <w:rsid w:val="004F7339"/>
    <w:rsid w:val="0050479A"/>
    <w:rsid w:val="00507D75"/>
    <w:rsid w:val="00512CC5"/>
    <w:rsid w:val="005157D0"/>
    <w:rsid w:val="0052223E"/>
    <w:rsid w:val="00522DDE"/>
    <w:rsid w:val="005233CD"/>
    <w:rsid w:val="005241D2"/>
    <w:rsid w:val="00527916"/>
    <w:rsid w:val="00532202"/>
    <w:rsid w:val="005344B4"/>
    <w:rsid w:val="00544C5D"/>
    <w:rsid w:val="005454A7"/>
    <w:rsid w:val="005454F2"/>
    <w:rsid w:val="00550544"/>
    <w:rsid w:val="00550BAA"/>
    <w:rsid w:val="005522F8"/>
    <w:rsid w:val="00556111"/>
    <w:rsid w:val="00571FBC"/>
    <w:rsid w:val="00574390"/>
    <w:rsid w:val="00580E9C"/>
    <w:rsid w:val="005844AE"/>
    <w:rsid w:val="0059707F"/>
    <w:rsid w:val="005A121A"/>
    <w:rsid w:val="005A36CF"/>
    <w:rsid w:val="005A5DD1"/>
    <w:rsid w:val="005A64C2"/>
    <w:rsid w:val="005B40B3"/>
    <w:rsid w:val="005B5822"/>
    <w:rsid w:val="005B7ED3"/>
    <w:rsid w:val="005C1381"/>
    <w:rsid w:val="005D18FB"/>
    <w:rsid w:val="005D52A5"/>
    <w:rsid w:val="005D567E"/>
    <w:rsid w:val="005D5A1B"/>
    <w:rsid w:val="005D5E67"/>
    <w:rsid w:val="005D6099"/>
    <w:rsid w:val="005D7010"/>
    <w:rsid w:val="005E23B1"/>
    <w:rsid w:val="005E334F"/>
    <w:rsid w:val="005E37EC"/>
    <w:rsid w:val="005E4C0B"/>
    <w:rsid w:val="005E5532"/>
    <w:rsid w:val="005E56FC"/>
    <w:rsid w:val="005E75F4"/>
    <w:rsid w:val="005F45B4"/>
    <w:rsid w:val="005F7517"/>
    <w:rsid w:val="006008CF"/>
    <w:rsid w:val="006036FE"/>
    <w:rsid w:val="00605787"/>
    <w:rsid w:val="00606B54"/>
    <w:rsid w:val="00607666"/>
    <w:rsid w:val="00607BF4"/>
    <w:rsid w:val="00613D5C"/>
    <w:rsid w:val="00615EF1"/>
    <w:rsid w:val="00616639"/>
    <w:rsid w:val="00617EB1"/>
    <w:rsid w:val="00622C60"/>
    <w:rsid w:val="0063024B"/>
    <w:rsid w:val="006461BF"/>
    <w:rsid w:val="00646908"/>
    <w:rsid w:val="00646B3E"/>
    <w:rsid w:val="00662057"/>
    <w:rsid w:val="00662C13"/>
    <w:rsid w:val="00662E5E"/>
    <w:rsid w:val="00662F34"/>
    <w:rsid w:val="006703B1"/>
    <w:rsid w:val="006903FF"/>
    <w:rsid w:val="00693359"/>
    <w:rsid w:val="006934BD"/>
    <w:rsid w:val="006935A6"/>
    <w:rsid w:val="00696392"/>
    <w:rsid w:val="006A0B05"/>
    <w:rsid w:val="006A2236"/>
    <w:rsid w:val="006A48C5"/>
    <w:rsid w:val="006A4BB6"/>
    <w:rsid w:val="006B3330"/>
    <w:rsid w:val="006B509B"/>
    <w:rsid w:val="006B5F60"/>
    <w:rsid w:val="006C175D"/>
    <w:rsid w:val="006C2FC4"/>
    <w:rsid w:val="006C3567"/>
    <w:rsid w:val="006C58DB"/>
    <w:rsid w:val="006C7B1F"/>
    <w:rsid w:val="006D1DBC"/>
    <w:rsid w:val="006D2473"/>
    <w:rsid w:val="006D4416"/>
    <w:rsid w:val="006D7081"/>
    <w:rsid w:val="006E0D1D"/>
    <w:rsid w:val="006E2FF6"/>
    <w:rsid w:val="006E4C5C"/>
    <w:rsid w:val="006E7BF7"/>
    <w:rsid w:val="006F2637"/>
    <w:rsid w:val="006F3698"/>
    <w:rsid w:val="006F633E"/>
    <w:rsid w:val="006F6534"/>
    <w:rsid w:val="006F7422"/>
    <w:rsid w:val="0070605B"/>
    <w:rsid w:val="00711FC3"/>
    <w:rsid w:val="00712BFC"/>
    <w:rsid w:val="007145F0"/>
    <w:rsid w:val="007165CA"/>
    <w:rsid w:val="0071794C"/>
    <w:rsid w:val="007209DE"/>
    <w:rsid w:val="00720AA4"/>
    <w:rsid w:val="00724C6A"/>
    <w:rsid w:val="0072710D"/>
    <w:rsid w:val="0073030E"/>
    <w:rsid w:val="00730B2A"/>
    <w:rsid w:val="00740805"/>
    <w:rsid w:val="00742D62"/>
    <w:rsid w:val="00754C26"/>
    <w:rsid w:val="00755271"/>
    <w:rsid w:val="00757E72"/>
    <w:rsid w:val="007607BA"/>
    <w:rsid w:val="00762D05"/>
    <w:rsid w:val="00780C9D"/>
    <w:rsid w:val="00781184"/>
    <w:rsid w:val="00781FB6"/>
    <w:rsid w:val="007875AB"/>
    <w:rsid w:val="007929B1"/>
    <w:rsid w:val="0079411E"/>
    <w:rsid w:val="007A2CDF"/>
    <w:rsid w:val="007A41AC"/>
    <w:rsid w:val="007A659E"/>
    <w:rsid w:val="007A6A7E"/>
    <w:rsid w:val="007B03BD"/>
    <w:rsid w:val="007B3BE4"/>
    <w:rsid w:val="007B457B"/>
    <w:rsid w:val="007B4678"/>
    <w:rsid w:val="007B640C"/>
    <w:rsid w:val="007C393F"/>
    <w:rsid w:val="007C61AA"/>
    <w:rsid w:val="007C6380"/>
    <w:rsid w:val="007D0CCA"/>
    <w:rsid w:val="007D0DA2"/>
    <w:rsid w:val="007D497B"/>
    <w:rsid w:val="007D70C6"/>
    <w:rsid w:val="007D7A87"/>
    <w:rsid w:val="007D7F47"/>
    <w:rsid w:val="007E5E9F"/>
    <w:rsid w:val="007E7F2B"/>
    <w:rsid w:val="007F0193"/>
    <w:rsid w:val="007F1FAC"/>
    <w:rsid w:val="00800556"/>
    <w:rsid w:val="0080289C"/>
    <w:rsid w:val="00803963"/>
    <w:rsid w:val="00803FA8"/>
    <w:rsid w:val="00806DEE"/>
    <w:rsid w:val="00807ABC"/>
    <w:rsid w:val="008155A7"/>
    <w:rsid w:val="00820175"/>
    <w:rsid w:val="00821250"/>
    <w:rsid w:val="00822323"/>
    <w:rsid w:val="0082571A"/>
    <w:rsid w:val="008277EB"/>
    <w:rsid w:val="00830935"/>
    <w:rsid w:val="00832A11"/>
    <w:rsid w:val="00832EB5"/>
    <w:rsid w:val="008358B6"/>
    <w:rsid w:val="0083732E"/>
    <w:rsid w:val="00837BA2"/>
    <w:rsid w:val="0084337A"/>
    <w:rsid w:val="0084628D"/>
    <w:rsid w:val="00852CA8"/>
    <w:rsid w:val="00862452"/>
    <w:rsid w:val="00863A63"/>
    <w:rsid w:val="00864294"/>
    <w:rsid w:val="00867375"/>
    <w:rsid w:val="00870EA2"/>
    <w:rsid w:val="00873EEE"/>
    <w:rsid w:val="00877606"/>
    <w:rsid w:val="00880B9E"/>
    <w:rsid w:val="00883BCB"/>
    <w:rsid w:val="00884956"/>
    <w:rsid w:val="00886B52"/>
    <w:rsid w:val="00897D79"/>
    <w:rsid w:val="008A101A"/>
    <w:rsid w:val="008A3383"/>
    <w:rsid w:val="008A666C"/>
    <w:rsid w:val="008B0149"/>
    <w:rsid w:val="008B06A7"/>
    <w:rsid w:val="008B3CCE"/>
    <w:rsid w:val="008B6CD8"/>
    <w:rsid w:val="008C28BC"/>
    <w:rsid w:val="008C76C8"/>
    <w:rsid w:val="008C7F8A"/>
    <w:rsid w:val="008D1FC0"/>
    <w:rsid w:val="008D24A0"/>
    <w:rsid w:val="008D2FFB"/>
    <w:rsid w:val="008D36F2"/>
    <w:rsid w:val="008D3713"/>
    <w:rsid w:val="008D45F5"/>
    <w:rsid w:val="008D546D"/>
    <w:rsid w:val="008D68C9"/>
    <w:rsid w:val="008E0552"/>
    <w:rsid w:val="008E1B1C"/>
    <w:rsid w:val="008F011B"/>
    <w:rsid w:val="008F1E84"/>
    <w:rsid w:val="008F281F"/>
    <w:rsid w:val="008F5F66"/>
    <w:rsid w:val="009012F7"/>
    <w:rsid w:val="009020FA"/>
    <w:rsid w:val="00903328"/>
    <w:rsid w:val="00904B37"/>
    <w:rsid w:val="00907088"/>
    <w:rsid w:val="00911726"/>
    <w:rsid w:val="009120EF"/>
    <w:rsid w:val="009148D4"/>
    <w:rsid w:val="00917815"/>
    <w:rsid w:val="00917BDF"/>
    <w:rsid w:val="00920C63"/>
    <w:rsid w:val="00930A0B"/>
    <w:rsid w:val="00936899"/>
    <w:rsid w:val="00940672"/>
    <w:rsid w:val="009448F3"/>
    <w:rsid w:val="00945F08"/>
    <w:rsid w:val="009460F7"/>
    <w:rsid w:val="00946164"/>
    <w:rsid w:val="009539C7"/>
    <w:rsid w:val="00953E98"/>
    <w:rsid w:val="00956BF4"/>
    <w:rsid w:val="00956F84"/>
    <w:rsid w:val="00957E44"/>
    <w:rsid w:val="00960891"/>
    <w:rsid w:val="009701F3"/>
    <w:rsid w:val="00980A12"/>
    <w:rsid w:val="00982EC1"/>
    <w:rsid w:val="00983F70"/>
    <w:rsid w:val="009844B5"/>
    <w:rsid w:val="00984A07"/>
    <w:rsid w:val="00995512"/>
    <w:rsid w:val="009B14B0"/>
    <w:rsid w:val="009C20A9"/>
    <w:rsid w:val="009D05DF"/>
    <w:rsid w:val="009D11FE"/>
    <w:rsid w:val="009D2035"/>
    <w:rsid w:val="009D290C"/>
    <w:rsid w:val="009D6B76"/>
    <w:rsid w:val="009E10FD"/>
    <w:rsid w:val="009E2198"/>
    <w:rsid w:val="009E79EF"/>
    <w:rsid w:val="009E7AD2"/>
    <w:rsid w:val="009F1EAA"/>
    <w:rsid w:val="009F2435"/>
    <w:rsid w:val="009F3A4E"/>
    <w:rsid w:val="009F4F15"/>
    <w:rsid w:val="00A00EEE"/>
    <w:rsid w:val="00A071EE"/>
    <w:rsid w:val="00A10963"/>
    <w:rsid w:val="00A11A83"/>
    <w:rsid w:val="00A17268"/>
    <w:rsid w:val="00A20F0B"/>
    <w:rsid w:val="00A21BCA"/>
    <w:rsid w:val="00A32415"/>
    <w:rsid w:val="00A332BA"/>
    <w:rsid w:val="00A3373F"/>
    <w:rsid w:val="00A33BCE"/>
    <w:rsid w:val="00A35FF9"/>
    <w:rsid w:val="00A40E24"/>
    <w:rsid w:val="00A50ABE"/>
    <w:rsid w:val="00A52644"/>
    <w:rsid w:val="00A52C73"/>
    <w:rsid w:val="00A533CD"/>
    <w:rsid w:val="00A5593A"/>
    <w:rsid w:val="00A6153B"/>
    <w:rsid w:val="00A6186E"/>
    <w:rsid w:val="00A67227"/>
    <w:rsid w:val="00A7049C"/>
    <w:rsid w:val="00A734F0"/>
    <w:rsid w:val="00A74BDC"/>
    <w:rsid w:val="00A76B83"/>
    <w:rsid w:val="00A8099D"/>
    <w:rsid w:val="00A816D2"/>
    <w:rsid w:val="00A82B96"/>
    <w:rsid w:val="00A82C7C"/>
    <w:rsid w:val="00A82F1F"/>
    <w:rsid w:val="00A86601"/>
    <w:rsid w:val="00A86E73"/>
    <w:rsid w:val="00A90473"/>
    <w:rsid w:val="00A958DA"/>
    <w:rsid w:val="00A9796D"/>
    <w:rsid w:val="00AA0322"/>
    <w:rsid w:val="00AA41E8"/>
    <w:rsid w:val="00AA6386"/>
    <w:rsid w:val="00AB03F9"/>
    <w:rsid w:val="00AB221C"/>
    <w:rsid w:val="00AB43FF"/>
    <w:rsid w:val="00AB4EF5"/>
    <w:rsid w:val="00AC1DA7"/>
    <w:rsid w:val="00AC5ED3"/>
    <w:rsid w:val="00AC66A4"/>
    <w:rsid w:val="00AD6118"/>
    <w:rsid w:val="00AF2060"/>
    <w:rsid w:val="00B01E25"/>
    <w:rsid w:val="00B067E9"/>
    <w:rsid w:val="00B07F1D"/>
    <w:rsid w:val="00B10A51"/>
    <w:rsid w:val="00B13D28"/>
    <w:rsid w:val="00B20D6A"/>
    <w:rsid w:val="00B2389E"/>
    <w:rsid w:val="00B242FF"/>
    <w:rsid w:val="00B26FA3"/>
    <w:rsid w:val="00B31172"/>
    <w:rsid w:val="00B37DE3"/>
    <w:rsid w:val="00B40CD3"/>
    <w:rsid w:val="00B515CA"/>
    <w:rsid w:val="00B52CAD"/>
    <w:rsid w:val="00B55551"/>
    <w:rsid w:val="00B56F13"/>
    <w:rsid w:val="00B56FF0"/>
    <w:rsid w:val="00B64168"/>
    <w:rsid w:val="00B643B9"/>
    <w:rsid w:val="00B6768A"/>
    <w:rsid w:val="00B904F9"/>
    <w:rsid w:val="00B91795"/>
    <w:rsid w:val="00B91B07"/>
    <w:rsid w:val="00B944A6"/>
    <w:rsid w:val="00B946DE"/>
    <w:rsid w:val="00B96FF3"/>
    <w:rsid w:val="00B977F3"/>
    <w:rsid w:val="00BA096C"/>
    <w:rsid w:val="00BA23CD"/>
    <w:rsid w:val="00BA47C1"/>
    <w:rsid w:val="00BA537A"/>
    <w:rsid w:val="00BB1C51"/>
    <w:rsid w:val="00BB6D83"/>
    <w:rsid w:val="00BC2FFC"/>
    <w:rsid w:val="00BC3231"/>
    <w:rsid w:val="00BC3F5B"/>
    <w:rsid w:val="00BD6F9A"/>
    <w:rsid w:val="00BD74A0"/>
    <w:rsid w:val="00BD7AA5"/>
    <w:rsid w:val="00BE0744"/>
    <w:rsid w:val="00BE22C8"/>
    <w:rsid w:val="00BE255B"/>
    <w:rsid w:val="00BE61F0"/>
    <w:rsid w:val="00BE65AE"/>
    <w:rsid w:val="00BE68FF"/>
    <w:rsid w:val="00BF4F36"/>
    <w:rsid w:val="00BF61CD"/>
    <w:rsid w:val="00C00AE9"/>
    <w:rsid w:val="00C06EBA"/>
    <w:rsid w:val="00C1060D"/>
    <w:rsid w:val="00C107CA"/>
    <w:rsid w:val="00C10B26"/>
    <w:rsid w:val="00C1182E"/>
    <w:rsid w:val="00C17792"/>
    <w:rsid w:val="00C2064C"/>
    <w:rsid w:val="00C2191C"/>
    <w:rsid w:val="00C2768A"/>
    <w:rsid w:val="00C347BC"/>
    <w:rsid w:val="00C36CED"/>
    <w:rsid w:val="00C419AC"/>
    <w:rsid w:val="00C43896"/>
    <w:rsid w:val="00C50D69"/>
    <w:rsid w:val="00C53ABB"/>
    <w:rsid w:val="00C66EFE"/>
    <w:rsid w:val="00C66FD0"/>
    <w:rsid w:val="00C80C77"/>
    <w:rsid w:val="00C8193B"/>
    <w:rsid w:val="00C858C9"/>
    <w:rsid w:val="00C8643F"/>
    <w:rsid w:val="00C86A6B"/>
    <w:rsid w:val="00C90956"/>
    <w:rsid w:val="00C94655"/>
    <w:rsid w:val="00C9506B"/>
    <w:rsid w:val="00C9625B"/>
    <w:rsid w:val="00CA0D70"/>
    <w:rsid w:val="00CA1B44"/>
    <w:rsid w:val="00CA6AEB"/>
    <w:rsid w:val="00CA6CEE"/>
    <w:rsid w:val="00CA6DF8"/>
    <w:rsid w:val="00CB3E1E"/>
    <w:rsid w:val="00CB704D"/>
    <w:rsid w:val="00CC18C5"/>
    <w:rsid w:val="00CC4DF5"/>
    <w:rsid w:val="00CD3BE2"/>
    <w:rsid w:val="00CD6793"/>
    <w:rsid w:val="00CE30D4"/>
    <w:rsid w:val="00CE4925"/>
    <w:rsid w:val="00CE5338"/>
    <w:rsid w:val="00CF2F98"/>
    <w:rsid w:val="00CF4D88"/>
    <w:rsid w:val="00CF5D70"/>
    <w:rsid w:val="00D05F21"/>
    <w:rsid w:val="00D06AD8"/>
    <w:rsid w:val="00D06B64"/>
    <w:rsid w:val="00D105E6"/>
    <w:rsid w:val="00D13F2E"/>
    <w:rsid w:val="00D24E24"/>
    <w:rsid w:val="00D31FBD"/>
    <w:rsid w:val="00D3405A"/>
    <w:rsid w:val="00D424F8"/>
    <w:rsid w:val="00D45C7F"/>
    <w:rsid w:val="00D50724"/>
    <w:rsid w:val="00D51113"/>
    <w:rsid w:val="00D538AC"/>
    <w:rsid w:val="00D56AA8"/>
    <w:rsid w:val="00D57920"/>
    <w:rsid w:val="00D60310"/>
    <w:rsid w:val="00D60498"/>
    <w:rsid w:val="00D62CA2"/>
    <w:rsid w:val="00D62E9D"/>
    <w:rsid w:val="00D63CE0"/>
    <w:rsid w:val="00D64EAD"/>
    <w:rsid w:val="00D7387C"/>
    <w:rsid w:val="00D834A8"/>
    <w:rsid w:val="00D8484E"/>
    <w:rsid w:val="00D87C21"/>
    <w:rsid w:val="00D92455"/>
    <w:rsid w:val="00DA0BB5"/>
    <w:rsid w:val="00DA1719"/>
    <w:rsid w:val="00DA25BC"/>
    <w:rsid w:val="00DA59C1"/>
    <w:rsid w:val="00DA797B"/>
    <w:rsid w:val="00DA7AA1"/>
    <w:rsid w:val="00DB13DE"/>
    <w:rsid w:val="00DB7F1B"/>
    <w:rsid w:val="00DC1E8B"/>
    <w:rsid w:val="00DC701F"/>
    <w:rsid w:val="00DC7747"/>
    <w:rsid w:val="00DD28C7"/>
    <w:rsid w:val="00DD30CC"/>
    <w:rsid w:val="00DD389E"/>
    <w:rsid w:val="00DD4EEF"/>
    <w:rsid w:val="00DD6FC4"/>
    <w:rsid w:val="00DE0597"/>
    <w:rsid w:val="00DE1BDB"/>
    <w:rsid w:val="00DE2145"/>
    <w:rsid w:val="00DE28D7"/>
    <w:rsid w:val="00DE6BDF"/>
    <w:rsid w:val="00DF1F31"/>
    <w:rsid w:val="00DF6D87"/>
    <w:rsid w:val="00E03306"/>
    <w:rsid w:val="00E10664"/>
    <w:rsid w:val="00E11C03"/>
    <w:rsid w:val="00E1542A"/>
    <w:rsid w:val="00E16548"/>
    <w:rsid w:val="00E23EB3"/>
    <w:rsid w:val="00E2443E"/>
    <w:rsid w:val="00E24C79"/>
    <w:rsid w:val="00E349F2"/>
    <w:rsid w:val="00E36D8A"/>
    <w:rsid w:val="00E404B5"/>
    <w:rsid w:val="00E43680"/>
    <w:rsid w:val="00E510FC"/>
    <w:rsid w:val="00E55715"/>
    <w:rsid w:val="00E612A4"/>
    <w:rsid w:val="00E6139D"/>
    <w:rsid w:val="00E615B0"/>
    <w:rsid w:val="00E619EC"/>
    <w:rsid w:val="00E61C5C"/>
    <w:rsid w:val="00E638E4"/>
    <w:rsid w:val="00E6482F"/>
    <w:rsid w:val="00E72AB6"/>
    <w:rsid w:val="00E74F14"/>
    <w:rsid w:val="00E76DA5"/>
    <w:rsid w:val="00E772BA"/>
    <w:rsid w:val="00E7730B"/>
    <w:rsid w:val="00E8488E"/>
    <w:rsid w:val="00E92387"/>
    <w:rsid w:val="00E95856"/>
    <w:rsid w:val="00E9654A"/>
    <w:rsid w:val="00EA09F7"/>
    <w:rsid w:val="00EA0D07"/>
    <w:rsid w:val="00EA1E8A"/>
    <w:rsid w:val="00EB0EDC"/>
    <w:rsid w:val="00EB34E3"/>
    <w:rsid w:val="00EB4AF4"/>
    <w:rsid w:val="00EB5F6B"/>
    <w:rsid w:val="00EC2641"/>
    <w:rsid w:val="00EC4115"/>
    <w:rsid w:val="00EC4C17"/>
    <w:rsid w:val="00EC5144"/>
    <w:rsid w:val="00EC54AF"/>
    <w:rsid w:val="00ED1C40"/>
    <w:rsid w:val="00ED2A50"/>
    <w:rsid w:val="00ED3F97"/>
    <w:rsid w:val="00ED659A"/>
    <w:rsid w:val="00EE3F82"/>
    <w:rsid w:val="00EE538D"/>
    <w:rsid w:val="00EE6713"/>
    <w:rsid w:val="00EF007B"/>
    <w:rsid w:val="00F02139"/>
    <w:rsid w:val="00F03085"/>
    <w:rsid w:val="00F104AF"/>
    <w:rsid w:val="00F10D93"/>
    <w:rsid w:val="00F12493"/>
    <w:rsid w:val="00F16210"/>
    <w:rsid w:val="00F16BCB"/>
    <w:rsid w:val="00F20E68"/>
    <w:rsid w:val="00F2192D"/>
    <w:rsid w:val="00F21E3C"/>
    <w:rsid w:val="00F24680"/>
    <w:rsid w:val="00F32AFF"/>
    <w:rsid w:val="00F33A4E"/>
    <w:rsid w:val="00F46921"/>
    <w:rsid w:val="00F5359E"/>
    <w:rsid w:val="00F53677"/>
    <w:rsid w:val="00F605BE"/>
    <w:rsid w:val="00F60BFC"/>
    <w:rsid w:val="00F62E53"/>
    <w:rsid w:val="00F70897"/>
    <w:rsid w:val="00F71B4C"/>
    <w:rsid w:val="00F754C8"/>
    <w:rsid w:val="00F7731F"/>
    <w:rsid w:val="00F8009F"/>
    <w:rsid w:val="00F80282"/>
    <w:rsid w:val="00F821BE"/>
    <w:rsid w:val="00F83C2D"/>
    <w:rsid w:val="00F906A0"/>
    <w:rsid w:val="00F94666"/>
    <w:rsid w:val="00F97100"/>
    <w:rsid w:val="00FA2CF6"/>
    <w:rsid w:val="00FA4979"/>
    <w:rsid w:val="00FA4C35"/>
    <w:rsid w:val="00FB07F5"/>
    <w:rsid w:val="00FB08FC"/>
    <w:rsid w:val="00FB1010"/>
    <w:rsid w:val="00FB4EF0"/>
    <w:rsid w:val="00FB5845"/>
    <w:rsid w:val="00FB5DF6"/>
    <w:rsid w:val="00FB68A4"/>
    <w:rsid w:val="00FB6E8B"/>
    <w:rsid w:val="00FC07A6"/>
    <w:rsid w:val="00FC179B"/>
    <w:rsid w:val="00FC63B8"/>
    <w:rsid w:val="00FD16F5"/>
    <w:rsid w:val="00FD1FBF"/>
    <w:rsid w:val="00FD2EED"/>
    <w:rsid w:val="00FD7856"/>
    <w:rsid w:val="00FE2E52"/>
    <w:rsid w:val="00FE632C"/>
    <w:rsid w:val="00FE6817"/>
    <w:rsid w:val="00FE7BB9"/>
    <w:rsid w:val="00FF0BC3"/>
    <w:rsid w:val="00FF0E70"/>
    <w:rsid w:val="00FF0F3A"/>
    <w:rsid w:val="00FF69C7"/>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1719"/>
    <w:rPr>
      <w:b/>
      <w:bCs/>
    </w:rPr>
  </w:style>
  <w:style w:type="character" w:styleId="Emphasis">
    <w:name w:val="Emphasis"/>
    <w:basedOn w:val="DefaultParagraphFont"/>
    <w:uiPriority w:val="20"/>
    <w:qFormat/>
    <w:rsid w:val="00DA1719"/>
    <w:rPr>
      <w:i/>
      <w:iCs/>
    </w:rPr>
  </w:style>
  <w:style w:type="paragraph" w:styleId="Header">
    <w:name w:val="header"/>
    <w:basedOn w:val="Normal"/>
    <w:link w:val="HeaderChar"/>
    <w:uiPriority w:val="99"/>
    <w:unhideWhenUsed/>
    <w:rsid w:val="00440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C7"/>
  </w:style>
  <w:style w:type="paragraph" w:styleId="Footer">
    <w:name w:val="footer"/>
    <w:basedOn w:val="Normal"/>
    <w:link w:val="FooterChar"/>
    <w:uiPriority w:val="99"/>
    <w:unhideWhenUsed/>
    <w:rsid w:val="00440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4C7"/>
  </w:style>
  <w:style w:type="paragraph" w:styleId="ListParagraph">
    <w:name w:val="List Paragraph"/>
    <w:basedOn w:val="Normal"/>
    <w:uiPriority w:val="34"/>
    <w:qFormat/>
    <w:rsid w:val="00DE2145"/>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6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1719"/>
    <w:rPr>
      <w:b/>
      <w:bCs/>
    </w:rPr>
  </w:style>
  <w:style w:type="character" w:styleId="Emphasis">
    <w:name w:val="Emphasis"/>
    <w:basedOn w:val="DefaultParagraphFont"/>
    <w:uiPriority w:val="20"/>
    <w:qFormat/>
    <w:rsid w:val="00DA1719"/>
    <w:rPr>
      <w:i/>
      <w:iCs/>
    </w:rPr>
  </w:style>
  <w:style w:type="paragraph" w:styleId="Header">
    <w:name w:val="header"/>
    <w:basedOn w:val="Normal"/>
    <w:link w:val="HeaderChar"/>
    <w:uiPriority w:val="99"/>
    <w:unhideWhenUsed/>
    <w:rsid w:val="00440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C7"/>
  </w:style>
  <w:style w:type="paragraph" w:styleId="Footer">
    <w:name w:val="footer"/>
    <w:basedOn w:val="Normal"/>
    <w:link w:val="FooterChar"/>
    <w:uiPriority w:val="99"/>
    <w:unhideWhenUsed/>
    <w:rsid w:val="00440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4C7"/>
  </w:style>
  <w:style w:type="paragraph" w:styleId="ListParagraph">
    <w:name w:val="List Paragraph"/>
    <w:basedOn w:val="Normal"/>
    <w:uiPriority w:val="34"/>
    <w:qFormat/>
    <w:rsid w:val="00DE2145"/>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6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485">
      <w:bodyDiv w:val="1"/>
      <w:marLeft w:val="0"/>
      <w:marRight w:val="0"/>
      <w:marTop w:val="0"/>
      <w:marBottom w:val="0"/>
      <w:divBdr>
        <w:top w:val="none" w:sz="0" w:space="0" w:color="auto"/>
        <w:left w:val="none" w:sz="0" w:space="0" w:color="auto"/>
        <w:bottom w:val="none" w:sz="0" w:space="0" w:color="auto"/>
        <w:right w:val="none" w:sz="0" w:space="0" w:color="auto"/>
      </w:divBdr>
    </w:div>
    <w:div w:id="142819029">
      <w:bodyDiv w:val="1"/>
      <w:marLeft w:val="0"/>
      <w:marRight w:val="0"/>
      <w:marTop w:val="0"/>
      <w:marBottom w:val="0"/>
      <w:divBdr>
        <w:top w:val="none" w:sz="0" w:space="0" w:color="auto"/>
        <w:left w:val="none" w:sz="0" w:space="0" w:color="auto"/>
        <w:bottom w:val="none" w:sz="0" w:space="0" w:color="auto"/>
        <w:right w:val="none" w:sz="0" w:space="0" w:color="auto"/>
      </w:divBdr>
    </w:div>
    <w:div w:id="149560951">
      <w:bodyDiv w:val="1"/>
      <w:marLeft w:val="0"/>
      <w:marRight w:val="0"/>
      <w:marTop w:val="0"/>
      <w:marBottom w:val="0"/>
      <w:divBdr>
        <w:top w:val="none" w:sz="0" w:space="0" w:color="auto"/>
        <w:left w:val="none" w:sz="0" w:space="0" w:color="auto"/>
        <w:bottom w:val="none" w:sz="0" w:space="0" w:color="auto"/>
        <w:right w:val="none" w:sz="0" w:space="0" w:color="auto"/>
      </w:divBdr>
    </w:div>
    <w:div w:id="296423129">
      <w:bodyDiv w:val="1"/>
      <w:marLeft w:val="0"/>
      <w:marRight w:val="0"/>
      <w:marTop w:val="0"/>
      <w:marBottom w:val="0"/>
      <w:divBdr>
        <w:top w:val="none" w:sz="0" w:space="0" w:color="auto"/>
        <w:left w:val="none" w:sz="0" w:space="0" w:color="auto"/>
        <w:bottom w:val="none" w:sz="0" w:space="0" w:color="auto"/>
        <w:right w:val="none" w:sz="0" w:space="0" w:color="auto"/>
      </w:divBdr>
    </w:div>
    <w:div w:id="300428921">
      <w:bodyDiv w:val="1"/>
      <w:marLeft w:val="0"/>
      <w:marRight w:val="0"/>
      <w:marTop w:val="0"/>
      <w:marBottom w:val="0"/>
      <w:divBdr>
        <w:top w:val="none" w:sz="0" w:space="0" w:color="auto"/>
        <w:left w:val="none" w:sz="0" w:space="0" w:color="auto"/>
        <w:bottom w:val="none" w:sz="0" w:space="0" w:color="auto"/>
        <w:right w:val="none" w:sz="0" w:space="0" w:color="auto"/>
      </w:divBdr>
    </w:div>
    <w:div w:id="307714154">
      <w:bodyDiv w:val="1"/>
      <w:marLeft w:val="0"/>
      <w:marRight w:val="0"/>
      <w:marTop w:val="0"/>
      <w:marBottom w:val="0"/>
      <w:divBdr>
        <w:top w:val="none" w:sz="0" w:space="0" w:color="auto"/>
        <w:left w:val="none" w:sz="0" w:space="0" w:color="auto"/>
        <w:bottom w:val="none" w:sz="0" w:space="0" w:color="auto"/>
        <w:right w:val="none" w:sz="0" w:space="0" w:color="auto"/>
      </w:divBdr>
    </w:div>
    <w:div w:id="324364509">
      <w:bodyDiv w:val="1"/>
      <w:marLeft w:val="0"/>
      <w:marRight w:val="0"/>
      <w:marTop w:val="0"/>
      <w:marBottom w:val="0"/>
      <w:divBdr>
        <w:top w:val="none" w:sz="0" w:space="0" w:color="auto"/>
        <w:left w:val="none" w:sz="0" w:space="0" w:color="auto"/>
        <w:bottom w:val="none" w:sz="0" w:space="0" w:color="auto"/>
        <w:right w:val="none" w:sz="0" w:space="0" w:color="auto"/>
      </w:divBdr>
    </w:div>
    <w:div w:id="353658186">
      <w:bodyDiv w:val="1"/>
      <w:marLeft w:val="0"/>
      <w:marRight w:val="0"/>
      <w:marTop w:val="0"/>
      <w:marBottom w:val="0"/>
      <w:divBdr>
        <w:top w:val="none" w:sz="0" w:space="0" w:color="auto"/>
        <w:left w:val="none" w:sz="0" w:space="0" w:color="auto"/>
        <w:bottom w:val="none" w:sz="0" w:space="0" w:color="auto"/>
        <w:right w:val="none" w:sz="0" w:space="0" w:color="auto"/>
      </w:divBdr>
    </w:div>
    <w:div w:id="468285082">
      <w:bodyDiv w:val="1"/>
      <w:marLeft w:val="0"/>
      <w:marRight w:val="0"/>
      <w:marTop w:val="0"/>
      <w:marBottom w:val="0"/>
      <w:divBdr>
        <w:top w:val="none" w:sz="0" w:space="0" w:color="auto"/>
        <w:left w:val="none" w:sz="0" w:space="0" w:color="auto"/>
        <w:bottom w:val="none" w:sz="0" w:space="0" w:color="auto"/>
        <w:right w:val="none" w:sz="0" w:space="0" w:color="auto"/>
      </w:divBdr>
    </w:div>
    <w:div w:id="627470087">
      <w:bodyDiv w:val="1"/>
      <w:marLeft w:val="0"/>
      <w:marRight w:val="0"/>
      <w:marTop w:val="0"/>
      <w:marBottom w:val="0"/>
      <w:divBdr>
        <w:top w:val="none" w:sz="0" w:space="0" w:color="auto"/>
        <w:left w:val="none" w:sz="0" w:space="0" w:color="auto"/>
        <w:bottom w:val="none" w:sz="0" w:space="0" w:color="auto"/>
        <w:right w:val="none" w:sz="0" w:space="0" w:color="auto"/>
      </w:divBdr>
    </w:div>
    <w:div w:id="856116141">
      <w:bodyDiv w:val="1"/>
      <w:marLeft w:val="0"/>
      <w:marRight w:val="0"/>
      <w:marTop w:val="0"/>
      <w:marBottom w:val="0"/>
      <w:divBdr>
        <w:top w:val="none" w:sz="0" w:space="0" w:color="auto"/>
        <w:left w:val="none" w:sz="0" w:space="0" w:color="auto"/>
        <w:bottom w:val="none" w:sz="0" w:space="0" w:color="auto"/>
        <w:right w:val="none" w:sz="0" w:space="0" w:color="auto"/>
      </w:divBdr>
    </w:div>
    <w:div w:id="899706897">
      <w:bodyDiv w:val="1"/>
      <w:marLeft w:val="0"/>
      <w:marRight w:val="0"/>
      <w:marTop w:val="0"/>
      <w:marBottom w:val="0"/>
      <w:divBdr>
        <w:top w:val="none" w:sz="0" w:space="0" w:color="auto"/>
        <w:left w:val="none" w:sz="0" w:space="0" w:color="auto"/>
        <w:bottom w:val="none" w:sz="0" w:space="0" w:color="auto"/>
        <w:right w:val="none" w:sz="0" w:space="0" w:color="auto"/>
      </w:divBdr>
    </w:div>
    <w:div w:id="916477629">
      <w:bodyDiv w:val="1"/>
      <w:marLeft w:val="0"/>
      <w:marRight w:val="0"/>
      <w:marTop w:val="0"/>
      <w:marBottom w:val="0"/>
      <w:divBdr>
        <w:top w:val="none" w:sz="0" w:space="0" w:color="auto"/>
        <w:left w:val="none" w:sz="0" w:space="0" w:color="auto"/>
        <w:bottom w:val="none" w:sz="0" w:space="0" w:color="auto"/>
        <w:right w:val="none" w:sz="0" w:space="0" w:color="auto"/>
      </w:divBdr>
    </w:div>
    <w:div w:id="948512001">
      <w:bodyDiv w:val="1"/>
      <w:marLeft w:val="0"/>
      <w:marRight w:val="0"/>
      <w:marTop w:val="0"/>
      <w:marBottom w:val="0"/>
      <w:divBdr>
        <w:top w:val="none" w:sz="0" w:space="0" w:color="auto"/>
        <w:left w:val="none" w:sz="0" w:space="0" w:color="auto"/>
        <w:bottom w:val="none" w:sz="0" w:space="0" w:color="auto"/>
        <w:right w:val="none" w:sz="0" w:space="0" w:color="auto"/>
      </w:divBdr>
    </w:div>
    <w:div w:id="997224117">
      <w:bodyDiv w:val="1"/>
      <w:marLeft w:val="0"/>
      <w:marRight w:val="0"/>
      <w:marTop w:val="0"/>
      <w:marBottom w:val="0"/>
      <w:divBdr>
        <w:top w:val="none" w:sz="0" w:space="0" w:color="auto"/>
        <w:left w:val="none" w:sz="0" w:space="0" w:color="auto"/>
        <w:bottom w:val="none" w:sz="0" w:space="0" w:color="auto"/>
        <w:right w:val="none" w:sz="0" w:space="0" w:color="auto"/>
      </w:divBdr>
    </w:div>
    <w:div w:id="1100679202">
      <w:bodyDiv w:val="1"/>
      <w:marLeft w:val="0"/>
      <w:marRight w:val="0"/>
      <w:marTop w:val="0"/>
      <w:marBottom w:val="0"/>
      <w:divBdr>
        <w:top w:val="none" w:sz="0" w:space="0" w:color="auto"/>
        <w:left w:val="none" w:sz="0" w:space="0" w:color="auto"/>
        <w:bottom w:val="none" w:sz="0" w:space="0" w:color="auto"/>
        <w:right w:val="none" w:sz="0" w:space="0" w:color="auto"/>
      </w:divBdr>
    </w:div>
    <w:div w:id="1298147339">
      <w:bodyDiv w:val="1"/>
      <w:marLeft w:val="0"/>
      <w:marRight w:val="0"/>
      <w:marTop w:val="0"/>
      <w:marBottom w:val="0"/>
      <w:divBdr>
        <w:top w:val="none" w:sz="0" w:space="0" w:color="auto"/>
        <w:left w:val="none" w:sz="0" w:space="0" w:color="auto"/>
        <w:bottom w:val="none" w:sz="0" w:space="0" w:color="auto"/>
        <w:right w:val="none" w:sz="0" w:space="0" w:color="auto"/>
      </w:divBdr>
    </w:div>
    <w:div w:id="1403139858">
      <w:bodyDiv w:val="1"/>
      <w:marLeft w:val="0"/>
      <w:marRight w:val="0"/>
      <w:marTop w:val="0"/>
      <w:marBottom w:val="0"/>
      <w:divBdr>
        <w:top w:val="none" w:sz="0" w:space="0" w:color="auto"/>
        <w:left w:val="none" w:sz="0" w:space="0" w:color="auto"/>
        <w:bottom w:val="none" w:sz="0" w:space="0" w:color="auto"/>
        <w:right w:val="none" w:sz="0" w:space="0" w:color="auto"/>
      </w:divBdr>
    </w:div>
    <w:div w:id="1437139236">
      <w:bodyDiv w:val="1"/>
      <w:marLeft w:val="0"/>
      <w:marRight w:val="0"/>
      <w:marTop w:val="0"/>
      <w:marBottom w:val="0"/>
      <w:divBdr>
        <w:top w:val="none" w:sz="0" w:space="0" w:color="auto"/>
        <w:left w:val="none" w:sz="0" w:space="0" w:color="auto"/>
        <w:bottom w:val="none" w:sz="0" w:space="0" w:color="auto"/>
        <w:right w:val="none" w:sz="0" w:space="0" w:color="auto"/>
      </w:divBdr>
    </w:div>
    <w:div w:id="1736274290">
      <w:bodyDiv w:val="1"/>
      <w:marLeft w:val="0"/>
      <w:marRight w:val="0"/>
      <w:marTop w:val="0"/>
      <w:marBottom w:val="0"/>
      <w:divBdr>
        <w:top w:val="none" w:sz="0" w:space="0" w:color="auto"/>
        <w:left w:val="none" w:sz="0" w:space="0" w:color="auto"/>
        <w:bottom w:val="none" w:sz="0" w:space="0" w:color="auto"/>
        <w:right w:val="none" w:sz="0" w:space="0" w:color="auto"/>
      </w:divBdr>
    </w:div>
    <w:div w:id="1762486541">
      <w:bodyDiv w:val="1"/>
      <w:marLeft w:val="0"/>
      <w:marRight w:val="0"/>
      <w:marTop w:val="0"/>
      <w:marBottom w:val="0"/>
      <w:divBdr>
        <w:top w:val="none" w:sz="0" w:space="0" w:color="auto"/>
        <w:left w:val="none" w:sz="0" w:space="0" w:color="auto"/>
        <w:bottom w:val="none" w:sz="0" w:space="0" w:color="auto"/>
        <w:right w:val="none" w:sz="0" w:space="0" w:color="auto"/>
      </w:divBdr>
    </w:div>
    <w:div w:id="1892307646">
      <w:bodyDiv w:val="1"/>
      <w:marLeft w:val="0"/>
      <w:marRight w:val="0"/>
      <w:marTop w:val="0"/>
      <w:marBottom w:val="0"/>
      <w:divBdr>
        <w:top w:val="none" w:sz="0" w:space="0" w:color="auto"/>
        <w:left w:val="none" w:sz="0" w:space="0" w:color="auto"/>
        <w:bottom w:val="none" w:sz="0" w:space="0" w:color="auto"/>
        <w:right w:val="none" w:sz="0" w:space="0" w:color="auto"/>
      </w:divBdr>
    </w:div>
    <w:div w:id="1944342393">
      <w:bodyDiv w:val="1"/>
      <w:marLeft w:val="0"/>
      <w:marRight w:val="0"/>
      <w:marTop w:val="0"/>
      <w:marBottom w:val="0"/>
      <w:divBdr>
        <w:top w:val="none" w:sz="0" w:space="0" w:color="auto"/>
        <w:left w:val="none" w:sz="0" w:space="0" w:color="auto"/>
        <w:bottom w:val="none" w:sz="0" w:space="0" w:color="auto"/>
        <w:right w:val="none" w:sz="0" w:space="0" w:color="auto"/>
      </w:divBdr>
    </w:div>
    <w:div w:id="1983730944">
      <w:bodyDiv w:val="1"/>
      <w:marLeft w:val="0"/>
      <w:marRight w:val="0"/>
      <w:marTop w:val="0"/>
      <w:marBottom w:val="0"/>
      <w:divBdr>
        <w:top w:val="none" w:sz="0" w:space="0" w:color="auto"/>
        <w:left w:val="none" w:sz="0" w:space="0" w:color="auto"/>
        <w:bottom w:val="none" w:sz="0" w:space="0" w:color="auto"/>
        <w:right w:val="none" w:sz="0" w:space="0" w:color="auto"/>
      </w:divBdr>
    </w:div>
    <w:div w:id="2077968369">
      <w:bodyDiv w:val="1"/>
      <w:marLeft w:val="0"/>
      <w:marRight w:val="0"/>
      <w:marTop w:val="0"/>
      <w:marBottom w:val="0"/>
      <w:divBdr>
        <w:top w:val="none" w:sz="0" w:space="0" w:color="auto"/>
        <w:left w:val="none" w:sz="0" w:space="0" w:color="auto"/>
        <w:bottom w:val="none" w:sz="0" w:space="0" w:color="auto"/>
        <w:right w:val="none" w:sz="0" w:space="0" w:color="auto"/>
      </w:divBdr>
    </w:div>
    <w:div w:id="21284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F88C-F124-400D-A636-F1CCE2A1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Careford</dc:creator>
  <cp:lastModifiedBy>Matthew Neal</cp:lastModifiedBy>
  <cp:revision>185</cp:revision>
  <cp:lastPrinted>2016-01-19T15:04:00Z</cp:lastPrinted>
  <dcterms:created xsi:type="dcterms:W3CDTF">2015-11-18T08:53:00Z</dcterms:created>
  <dcterms:modified xsi:type="dcterms:W3CDTF">2016-04-28T09:59:00Z</dcterms:modified>
</cp:coreProperties>
</file>